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A6AE5" w14:textId="77777777" w:rsidR="00075EA3" w:rsidRDefault="00075EA3" w:rsidP="001909CD">
      <w:pPr>
        <w:jc w:val="center"/>
        <w:rPr>
          <w:rFonts w:ascii="Times New Roman" w:hAnsi="Times New Roman" w:cs="Times New Roman"/>
          <w:b/>
          <w:sz w:val="28"/>
          <w:szCs w:val="28"/>
        </w:rPr>
      </w:pPr>
      <w:r>
        <w:rPr>
          <w:rFonts w:ascii="Times New Roman" w:hAnsi="Times New Roman" w:cs="Times New Roman"/>
          <w:b/>
          <w:sz w:val="28"/>
          <w:szCs w:val="28"/>
        </w:rPr>
        <w:t>m</w:t>
      </w:r>
      <w:r w:rsidR="009B0605" w:rsidRPr="001909CD">
        <w:rPr>
          <w:rFonts w:ascii="Times New Roman" w:hAnsi="Times New Roman" w:cs="Times New Roman"/>
          <w:b/>
          <w:sz w:val="28"/>
          <w:szCs w:val="28"/>
        </w:rPr>
        <w:t>onitoring table to follow on revised programmes</w:t>
      </w:r>
      <w:r w:rsidR="00906BA1">
        <w:rPr>
          <w:rFonts w:ascii="Times New Roman" w:hAnsi="Times New Roman" w:cs="Times New Roman"/>
          <w:b/>
          <w:sz w:val="28"/>
          <w:szCs w:val="28"/>
        </w:rPr>
        <w:t xml:space="preserve"> </w:t>
      </w:r>
    </w:p>
    <w:p w14:paraId="13F0ACF2" w14:textId="5CDD697B" w:rsidR="00467435" w:rsidRDefault="00075EA3" w:rsidP="001909CD">
      <w:pPr>
        <w:jc w:val="center"/>
        <w:rPr>
          <w:rFonts w:ascii="Times New Roman" w:hAnsi="Times New Roman" w:cs="Times New Roman"/>
          <w:b/>
          <w:sz w:val="28"/>
          <w:szCs w:val="28"/>
        </w:rPr>
      </w:pPr>
      <w:r>
        <w:rPr>
          <w:rFonts w:ascii="Times New Roman" w:hAnsi="Times New Roman" w:cs="Times New Roman"/>
          <w:b/>
          <w:sz w:val="28"/>
          <w:szCs w:val="28"/>
        </w:rPr>
        <w:t xml:space="preserve">version </w:t>
      </w:r>
      <w:r w:rsidR="006E09BD">
        <w:rPr>
          <w:rFonts w:ascii="Times New Roman" w:hAnsi="Times New Roman" w:cs="Times New Roman"/>
          <w:b/>
          <w:sz w:val="28"/>
          <w:szCs w:val="28"/>
        </w:rPr>
        <w:t>1.2</w:t>
      </w:r>
      <w:r w:rsidR="002E7AFB">
        <w:rPr>
          <w:rFonts w:ascii="Times New Roman" w:hAnsi="Times New Roman" w:cs="Times New Roman"/>
          <w:b/>
          <w:sz w:val="28"/>
          <w:szCs w:val="28"/>
        </w:rPr>
        <w:t xml:space="preserve"> </w:t>
      </w:r>
      <w:r w:rsidR="0027439B">
        <w:rPr>
          <w:rFonts w:ascii="Times New Roman" w:hAnsi="Times New Roman" w:cs="Times New Roman"/>
          <w:b/>
          <w:sz w:val="28"/>
          <w:szCs w:val="28"/>
        </w:rPr>
        <w:t>August</w:t>
      </w:r>
      <w:r>
        <w:rPr>
          <w:rFonts w:ascii="Times New Roman" w:hAnsi="Times New Roman" w:cs="Times New Roman"/>
          <w:b/>
          <w:sz w:val="28"/>
          <w:szCs w:val="28"/>
        </w:rPr>
        <w:t xml:space="preserve"> 2022 </w:t>
      </w:r>
      <w:r w:rsidR="00906BA1">
        <w:rPr>
          <w:rFonts w:ascii="Times New Roman" w:hAnsi="Times New Roman" w:cs="Times New Roman"/>
          <w:b/>
          <w:sz w:val="28"/>
          <w:szCs w:val="28"/>
        </w:rPr>
        <w:t xml:space="preserve">Estonia </w:t>
      </w:r>
    </w:p>
    <w:p w14:paraId="44C890B3" w14:textId="77777777" w:rsidR="001909CD" w:rsidRPr="001909CD" w:rsidRDefault="001909CD" w:rsidP="001909CD">
      <w:pPr>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471"/>
        <w:gridCol w:w="3524"/>
        <w:gridCol w:w="3486"/>
        <w:gridCol w:w="3527"/>
        <w:gridCol w:w="2940"/>
      </w:tblGrid>
      <w:tr w:rsidR="00AB695E" w:rsidRPr="002749F9" w14:paraId="613E59A3" w14:textId="5F9AFAF7" w:rsidTr="00AB695E">
        <w:trPr>
          <w:trHeight w:val="672"/>
        </w:trPr>
        <w:tc>
          <w:tcPr>
            <w:tcW w:w="3995" w:type="dxa"/>
            <w:gridSpan w:val="2"/>
          </w:tcPr>
          <w:p w14:paraId="13277138" w14:textId="69276364" w:rsidR="00AB695E" w:rsidRPr="00075EA3" w:rsidRDefault="00AB695E" w:rsidP="00FD3DF5">
            <w:pPr>
              <w:rPr>
                <w:rFonts w:asciiTheme="majorBidi" w:hAnsiTheme="majorBidi" w:cstheme="majorBidi"/>
                <w:b/>
              </w:rPr>
            </w:pPr>
            <w:r w:rsidRPr="00075EA3">
              <w:rPr>
                <w:rFonts w:asciiTheme="majorBidi" w:hAnsiTheme="majorBidi" w:cstheme="majorBidi"/>
                <w:b/>
              </w:rPr>
              <w:t>Commission’s observations</w:t>
            </w:r>
          </w:p>
        </w:tc>
        <w:tc>
          <w:tcPr>
            <w:tcW w:w="3486" w:type="dxa"/>
          </w:tcPr>
          <w:p w14:paraId="6B2F38C0" w14:textId="515653C6" w:rsidR="00AB695E" w:rsidRPr="00075EA3" w:rsidRDefault="00AB695E" w:rsidP="00FD3DF5">
            <w:pPr>
              <w:rPr>
                <w:rFonts w:asciiTheme="majorBidi" w:hAnsiTheme="majorBidi" w:cstheme="majorBidi"/>
                <w:b/>
              </w:rPr>
            </w:pPr>
            <w:r w:rsidRPr="00075EA3">
              <w:rPr>
                <w:rFonts w:asciiTheme="majorBidi" w:hAnsiTheme="majorBidi" w:cstheme="majorBidi"/>
                <w:b/>
              </w:rPr>
              <w:t>Member State reply to Commission’s observation</w:t>
            </w:r>
          </w:p>
        </w:tc>
        <w:tc>
          <w:tcPr>
            <w:tcW w:w="3527" w:type="dxa"/>
          </w:tcPr>
          <w:p w14:paraId="0DA0FB90" w14:textId="77777777" w:rsidR="00AB695E" w:rsidRPr="00075EA3" w:rsidRDefault="00AB695E" w:rsidP="00FD3DF5">
            <w:pPr>
              <w:rPr>
                <w:rFonts w:asciiTheme="majorBidi" w:hAnsiTheme="majorBidi" w:cstheme="majorBidi"/>
                <w:b/>
              </w:rPr>
            </w:pPr>
            <w:r w:rsidRPr="00075EA3">
              <w:rPr>
                <w:rFonts w:asciiTheme="majorBidi" w:hAnsiTheme="majorBidi" w:cstheme="majorBidi"/>
                <w:b/>
              </w:rPr>
              <w:t>Comments /</w:t>
            </w:r>
          </w:p>
          <w:p w14:paraId="73DF86AC" w14:textId="77777777" w:rsidR="00AB695E" w:rsidRPr="00075EA3" w:rsidRDefault="00AB695E" w:rsidP="00FD3DF5">
            <w:pPr>
              <w:rPr>
                <w:rFonts w:asciiTheme="majorBidi" w:hAnsiTheme="majorBidi" w:cstheme="majorBidi"/>
                <w:b/>
              </w:rPr>
            </w:pPr>
            <w:r w:rsidRPr="00075EA3">
              <w:rPr>
                <w:rFonts w:asciiTheme="majorBidi" w:hAnsiTheme="majorBidi" w:cstheme="majorBidi"/>
                <w:b/>
              </w:rPr>
              <w:t>Follow up</w:t>
            </w:r>
            <w:r w:rsidRPr="00075EA3">
              <w:rPr>
                <w:rStyle w:val="FootnoteReference"/>
                <w:rFonts w:asciiTheme="majorBidi" w:hAnsiTheme="majorBidi" w:cstheme="majorBidi"/>
                <w:b/>
              </w:rPr>
              <w:footnoteReference w:id="1"/>
            </w:r>
          </w:p>
        </w:tc>
        <w:tc>
          <w:tcPr>
            <w:tcW w:w="2940" w:type="dxa"/>
          </w:tcPr>
          <w:p w14:paraId="579ABA48" w14:textId="4D63C91B" w:rsidR="00AB695E" w:rsidRPr="00075EA3" w:rsidRDefault="00AB695E" w:rsidP="00FD3DF5">
            <w:pPr>
              <w:rPr>
                <w:rFonts w:asciiTheme="majorBidi" w:hAnsiTheme="majorBidi" w:cstheme="majorBidi"/>
                <w:b/>
              </w:rPr>
            </w:pPr>
            <w:r>
              <w:rPr>
                <w:rFonts w:asciiTheme="majorBidi" w:hAnsiTheme="majorBidi" w:cstheme="majorBidi"/>
                <w:b/>
              </w:rPr>
              <w:t>EE comments</w:t>
            </w:r>
          </w:p>
        </w:tc>
      </w:tr>
      <w:tr w:rsidR="00AB695E" w14:paraId="0836D007" w14:textId="65E95337" w:rsidTr="00AB695E">
        <w:tc>
          <w:tcPr>
            <w:tcW w:w="471" w:type="dxa"/>
          </w:tcPr>
          <w:p w14:paraId="561AD3B5" w14:textId="77777777" w:rsidR="00AB695E" w:rsidRPr="005E3D6E" w:rsidRDefault="00AB695E">
            <w:pPr>
              <w:rPr>
                <w:rFonts w:ascii="Times New Roman" w:hAnsi="Times New Roman" w:cs="Times New Roman"/>
              </w:rPr>
            </w:pPr>
          </w:p>
        </w:tc>
        <w:tc>
          <w:tcPr>
            <w:tcW w:w="3524" w:type="dxa"/>
          </w:tcPr>
          <w:p w14:paraId="5E38ACF4" w14:textId="77777777" w:rsidR="00AB695E" w:rsidRPr="00FD3DF5" w:rsidRDefault="00AB695E" w:rsidP="00FD3DF5">
            <w:pPr>
              <w:rPr>
                <w:rFonts w:asciiTheme="majorBidi" w:hAnsiTheme="majorBidi" w:cstheme="majorBidi"/>
                <w:lang w:val="en-IE"/>
              </w:rPr>
            </w:pPr>
          </w:p>
        </w:tc>
        <w:tc>
          <w:tcPr>
            <w:tcW w:w="3486" w:type="dxa"/>
          </w:tcPr>
          <w:p w14:paraId="3F50038D" w14:textId="61D7B75E" w:rsidR="00AB695E" w:rsidRPr="00FD3DF5" w:rsidRDefault="00AB695E" w:rsidP="001F7E31">
            <w:pPr>
              <w:rPr>
                <w:rFonts w:asciiTheme="majorBidi" w:hAnsiTheme="majorBidi" w:cstheme="majorBidi"/>
              </w:rPr>
            </w:pPr>
            <w:r w:rsidRPr="00FD3DF5">
              <w:rPr>
                <w:rFonts w:asciiTheme="majorBidi" w:hAnsiTheme="majorBidi" w:cstheme="majorBidi"/>
              </w:rPr>
              <w:t xml:space="preserve">We assure that all Commission’s previous recommendations made during the informal consultation have been </w:t>
            </w:r>
            <w:proofErr w:type="gramStart"/>
            <w:r w:rsidRPr="00FD3DF5">
              <w:rPr>
                <w:rFonts w:asciiTheme="majorBidi" w:hAnsiTheme="majorBidi" w:cstheme="majorBidi"/>
              </w:rPr>
              <w:t xml:space="preserve">taken </w:t>
            </w:r>
            <w:r w:rsidR="00B41B7A">
              <w:rPr>
                <w:rFonts w:asciiTheme="majorBidi" w:hAnsiTheme="majorBidi" w:cstheme="majorBidi"/>
              </w:rPr>
              <w:t>into account</w:t>
            </w:r>
            <w:proofErr w:type="gramEnd"/>
            <w:r w:rsidRPr="00FD3DF5">
              <w:rPr>
                <w:rFonts w:asciiTheme="majorBidi" w:hAnsiTheme="majorBidi" w:cstheme="majorBidi"/>
              </w:rPr>
              <w:t xml:space="preserve"> and the </w:t>
            </w:r>
            <w:r w:rsidRPr="00CA16D4">
              <w:rPr>
                <w:rFonts w:asciiTheme="majorBidi" w:hAnsiTheme="majorBidi" w:cstheme="majorBidi"/>
              </w:rPr>
              <w:t xml:space="preserve">text </w:t>
            </w:r>
            <w:r w:rsidR="00B41B7A">
              <w:rPr>
                <w:rFonts w:asciiTheme="majorBidi" w:hAnsiTheme="majorBidi" w:cstheme="majorBidi"/>
              </w:rPr>
              <w:t xml:space="preserve">has been </w:t>
            </w:r>
            <w:r w:rsidRPr="00CA16D4">
              <w:rPr>
                <w:rFonts w:asciiTheme="majorBidi" w:hAnsiTheme="majorBidi" w:cstheme="majorBidi"/>
              </w:rPr>
              <w:t>amended accordingly</w:t>
            </w:r>
            <w:r w:rsidR="00B41B7A">
              <w:rPr>
                <w:rFonts w:asciiTheme="majorBidi" w:hAnsiTheme="majorBidi" w:cstheme="majorBidi"/>
              </w:rPr>
              <w:t>. W</w:t>
            </w:r>
            <w:r w:rsidRPr="00CA16D4">
              <w:rPr>
                <w:rFonts w:asciiTheme="majorBidi" w:hAnsiTheme="majorBidi" w:cstheme="majorBidi"/>
              </w:rPr>
              <w:t xml:space="preserve">e are in the position that the </w:t>
            </w:r>
            <w:r w:rsidR="0027439B" w:rsidRPr="00CA16D4">
              <w:rPr>
                <w:rFonts w:asciiTheme="majorBidi" w:hAnsiTheme="majorBidi" w:cstheme="majorBidi"/>
              </w:rPr>
              <w:t>AMIF</w:t>
            </w:r>
            <w:r w:rsidRPr="00CA16D4">
              <w:rPr>
                <w:rFonts w:asciiTheme="majorBidi" w:hAnsiTheme="majorBidi" w:cstheme="majorBidi"/>
              </w:rPr>
              <w:t xml:space="preserve"> programme</w:t>
            </w:r>
            <w:r w:rsidR="00B41B7A">
              <w:rPr>
                <w:rFonts w:asciiTheme="majorBidi" w:hAnsiTheme="majorBidi" w:cstheme="majorBidi"/>
              </w:rPr>
              <w:t xml:space="preserve"> version 1.1</w:t>
            </w:r>
            <w:r w:rsidRPr="00CA16D4">
              <w:rPr>
                <w:rFonts w:asciiTheme="majorBidi" w:hAnsiTheme="majorBidi" w:cstheme="majorBidi"/>
              </w:rPr>
              <w:t xml:space="preserve"> covers all the necessary features foreseen in the </w:t>
            </w:r>
            <w:r w:rsidR="00B41B7A" w:rsidRPr="00CA16D4">
              <w:rPr>
                <w:rFonts w:asciiTheme="majorBidi" w:hAnsiTheme="majorBidi" w:cstheme="majorBidi"/>
              </w:rPr>
              <w:t>CPR</w:t>
            </w:r>
            <w:r w:rsidR="00B41B7A" w:rsidRPr="00CA16D4" w:rsidDel="00B41B7A">
              <w:rPr>
                <w:rFonts w:asciiTheme="majorBidi" w:hAnsiTheme="majorBidi" w:cstheme="majorBidi"/>
              </w:rPr>
              <w:t xml:space="preserve"> </w:t>
            </w:r>
            <w:r w:rsidRPr="00CA16D4">
              <w:rPr>
                <w:rFonts w:asciiTheme="majorBidi" w:hAnsiTheme="majorBidi" w:cstheme="majorBidi"/>
              </w:rPr>
              <w:t xml:space="preserve">and the </w:t>
            </w:r>
            <w:r w:rsidR="00B41B7A" w:rsidRPr="00CA16D4">
              <w:rPr>
                <w:rFonts w:asciiTheme="majorBidi" w:hAnsiTheme="majorBidi" w:cstheme="majorBidi"/>
              </w:rPr>
              <w:t xml:space="preserve">AMIF regulation </w:t>
            </w:r>
            <w:r w:rsidRPr="00CA16D4">
              <w:rPr>
                <w:rFonts w:asciiTheme="majorBidi" w:hAnsiTheme="majorBidi" w:cstheme="majorBidi"/>
              </w:rPr>
              <w:t>as</w:t>
            </w:r>
            <w:r w:rsidRPr="00FD3DF5">
              <w:rPr>
                <w:rFonts w:asciiTheme="majorBidi" w:hAnsiTheme="majorBidi" w:cstheme="majorBidi"/>
              </w:rPr>
              <w:t xml:space="preserve"> well as most observations made by the Commission in the Observation Letter sent on </w:t>
            </w:r>
            <w:r w:rsidR="0027439B">
              <w:rPr>
                <w:rFonts w:asciiTheme="majorBidi" w:hAnsiTheme="majorBidi" w:cstheme="majorBidi"/>
              </w:rPr>
              <w:t>1 August</w:t>
            </w:r>
            <w:r w:rsidRPr="00FD3DF5">
              <w:rPr>
                <w:rFonts w:asciiTheme="majorBidi" w:hAnsiTheme="majorBidi" w:cstheme="majorBidi"/>
              </w:rPr>
              <w:t xml:space="preserve"> 2022. </w:t>
            </w:r>
          </w:p>
        </w:tc>
        <w:tc>
          <w:tcPr>
            <w:tcW w:w="3527" w:type="dxa"/>
          </w:tcPr>
          <w:p w14:paraId="7BA51C2C" w14:textId="77777777" w:rsidR="00AB695E" w:rsidRPr="00FD3DF5" w:rsidRDefault="00AB695E" w:rsidP="00FD3DF5">
            <w:pPr>
              <w:rPr>
                <w:rFonts w:asciiTheme="majorBidi" w:hAnsiTheme="majorBidi" w:cstheme="majorBidi"/>
              </w:rPr>
            </w:pPr>
          </w:p>
        </w:tc>
        <w:tc>
          <w:tcPr>
            <w:tcW w:w="2940" w:type="dxa"/>
          </w:tcPr>
          <w:p w14:paraId="432A56DF" w14:textId="77777777" w:rsidR="00AB695E" w:rsidRPr="00FD3DF5" w:rsidRDefault="00AB695E" w:rsidP="00FD3DF5">
            <w:pPr>
              <w:rPr>
                <w:rFonts w:asciiTheme="majorBidi" w:hAnsiTheme="majorBidi" w:cstheme="majorBidi"/>
              </w:rPr>
            </w:pPr>
          </w:p>
        </w:tc>
      </w:tr>
      <w:tr w:rsidR="00AB695E" w14:paraId="368C9175" w14:textId="4A538672" w:rsidTr="00AB695E">
        <w:tc>
          <w:tcPr>
            <w:tcW w:w="471" w:type="dxa"/>
          </w:tcPr>
          <w:p w14:paraId="3001A472" w14:textId="77777777" w:rsidR="00AB695E" w:rsidRPr="005E3D6E" w:rsidRDefault="00AB695E">
            <w:pPr>
              <w:rPr>
                <w:rFonts w:ascii="Times New Roman" w:hAnsi="Times New Roman" w:cs="Times New Roman"/>
              </w:rPr>
            </w:pPr>
            <w:r w:rsidRPr="005E3D6E">
              <w:rPr>
                <w:rFonts w:ascii="Times New Roman" w:hAnsi="Times New Roman" w:cs="Times New Roman"/>
              </w:rPr>
              <w:t>1</w:t>
            </w:r>
          </w:p>
        </w:tc>
        <w:tc>
          <w:tcPr>
            <w:tcW w:w="3524" w:type="dxa"/>
          </w:tcPr>
          <w:p w14:paraId="4A0E8846" w14:textId="1376BB7E" w:rsidR="00AB695E" w:rsidRPr="00FD3DF5" w:rsidRDefault="000A2993" w:rsidP="00FD3DF5">
            <w:pPr>
              <w:rPr>
                <w:rFonts w:asciiTheme="majorBidi" w:hAnsiTheme="majorBidi" w:cstheme="majorBidi"/>
                <w:lang w:val="en-IE"/>
              </w:rPr>
            </w:pPr>
            <w:r w:rsidRPr="000A2993">
              <w:rPr>
                <w:rFonts w:asciiTheme="majorBidi" w:hAnsiTheme="majorBidi" w:cstheme="majorBidi"/>
                <w:lang w:val="en-IE"/>
              </w:rPr>
              <w:t xml:space="preserve">The Commission services invite the Estonian authorities to review the programming strategy in the light of the consequences of the recent refugee inflow from Ukraine. While the Commission has brought forward proposals to extend the implementation period of the Home Affairs Funds 2014-2020 to release free unspent financial resources as a first measure, additional efforts will </w:t>
            </w:r>
            <w:r w:rsidRPr="000A2993">
              <w:rPr>
                <w:rFonts w:asciiTheme="majorBidi" w:hAnsiTheme="majorBidi" w:cstheme="majorBidi"/>
                <w:lang w:val="en-IE"/>
              </w:rPr>
              <w:lastRenderedPageBreak/>
              <w:t xml:space="preserve">be necessary. We believe that all funding opportunities should be </w:t>
            </w:r>
            <w:proofErr w:type="gramStart"/>
            <w:r w:rsidRPr="000A2993">
              <w:rPr>
                <w:rFonts w:asciiTheme="majorBidi" w:hAnsiTheme="majorBidi" w:cstheme="majorBidi"/>
                <w:lang w:val="en-IE"/>
              </w:rPr>
              <w:t>explored</w:t>
            </w:r>
            <w:proofErr w:type="gramEnd"/>
            <w:r w:rsidRPr="000A2993">
              <w:rPr>
                <w:rFonts w:asciiTheme="majorBidi" w:hAnsiTheme="majorBidi" w:cstheme="majorBidi"/>
                <w:lang w:val="en-IE"/>
              </w:rPr>
              <w:t xml:space="preserve"> and the 2021 -2027 programme could provide an important contribution. To be able to tap quickly into the 2021-2027 allocations, you are invited to introduce a reference to the situation in section 1 of the programme and indicate that the programme can also cover measures benefiting the target population affected. Coordination with the Managing Authorities in charge of other relevant EU Funds is also recommended.</w:t>
            </w:r>
          </w:p>
        </w:tc>
        <w:tc>
          <w:tcPr>
            <w:tcW w:w="3486" w:type="dxa"/>
          </w:tcPr>
          <w:p w14:paraId="6B3662C2" w14:textId="4D00322C" w:rsidR="00AB695E" w:rsidRDefault="000A2993" w:rsidP="00FD3DF5">
            <w:pPr>
              <w:rPr>
                <w:rFonts w:asciiTheme="majorBidi" w:hAnsiTheme="majorBidi" w:cstheme="majorBidi"/>
              </w:rPr>
            </w:pPr>
            <w:r>
              <w:rPr>
                <w:rFonts w:asciiTheme="majorBidi" w:hAnsiTheme="majorBidi" w:cstheme="majorBidi"/>
              </w:rPr>
              <w:lastRenderedPageBreak/>
              <w:t>In the EE AMIF programme version 1.1</w:t>
            </w:r>
            <w:r w:rsidR="00B41B7A">
              <w:rPr>
                <w:rFonts w:asciiTheme="majorBidi" w:hAnsiTheme="majorBidi" w:cstheme="majorBidi"/>
              </w:rPr>
              <w:t>.</w:t>
            </w:r>
            <w:r>
              <w:rPr>
                <w:rFonts w:asciiTheme="majorBidi" w:hAnsiTheme="majorBidi" w:cstheme="majorBidi"/>
              </w:rPr>
              <w:t xml:space="preserve"> </w:t>
            </w:r>
            <w:r w:rsidR="00B41B7A">
              <w:rPr>
                <w:rFonts w:asciiTheme="majorBidi" w:hAnsiTheme="majorBidi" w:cstheme="majorBidi"/>
              </w:rPr>
              <w:t xml:space="preserve">(submitted </w:t>
            </w:r>
            <w:r>
              <w:rPr>
                <w:rFonts w:asciiTheme="majorBidi" w:hAnsiTheme="majorBidi" w:cstheme="majorBidi"/>
              </w:rPr>
              <w:t>on 20.05.2022</w:t>
            </w:r>
            <w:r w:rsidR="00B41B7A">
              <w:rPr>
                <w:rFonts w:asciiTheme="majorBidi" w:hAnsiTheme="majorBidi" w:cstheme="majorBidi"/>
              </w:rPr>
              <w:t>)</w:t>
            </w:r>
            <w:r>
              <w:rPr>
                <w:rFonts w:asciiTheme="majorBidi" w:hAnsiTheme="majorBidi" w:cstheme="majorBidi"/>
              </w:rPr>
              <w:t xml:space="preserve"> </w:t>
            </w:r>
            <w:r w:rsidR="00B41B7A">
              <w:rPr>
                <w:rFonts w:asciiTheme="majorBidi" w:hAnsiTheme="majorBidi" w:cstheme="majorBidi"/>
              </w:rPr>
              <w:t xml:space="preserve">the </w:t>
            </w:r>
            <w:r>
              <w:rPr>
                <w:rFonts w:asciiTheme="majorBidi" w:hAnsiTheme="majorBidi" w:cstheme="majorBidi"/>
              </w:rPr>
              <w:t xml:space="preserve">reference to the war in Ukraine and </w:t>
            </w:r>
            <w:proofErr w:type="gramStart"/>
            <w:r>
              <w:rPr>
                <w:rFonts w:asciiTheme="majorBidi" w:hAnsiTheme="majorBidi" w:cstheme="majorBidi"/>
              </w:rPr>
              <w:t>as a consequence</w:t>
            </w:r>
            <w:proofErr w:type="gramEnd"/>
            <w:r>
              <w:rPr>
                <w:rFonts w:asciiTheme="majorBidi" w:hAnsiTheme="majorBidi" w:cstheme="majorBidi"/>
              </w:rPr>
              <w:t xml:space="preserve"> inflow of refugees </w:t>
            </w:r>
            <w:r w:rsidR="00B41B7A">
              <w:rPr>
                <w:rFonts w:asciiTheme="majorBidi" w:hAnsiTheme="majorBidi" w:cstheme="majorBidi"/>
              </w:rPr>
              <w:t>has been</w:t>
            </w:r>
            <w:r>
              <w:rPr>
                <w:rFonts w:asciiTheme="majorBidi" w:hAnsiTheme="majorBidi" w:cstheme="majorBidi"/>
              </w:rPr>
              <w:t xml:space="preserve"> made.</w:t>
            </w:r>
            <w:r>
              <w:rPr>
                <w:rFonts w:asciiTheme="majorBidi" w:hAnsiTheme="majorBidi" w:cstheme="majorBidi"/>
              </w:rPr>
              <w:br/>
              <w:t xml:space="preserve">Also cooperation with other relevant Managing Authorities is referred to in section 1 </w:t>
            </w:r>
            <w:r w:rsidRPr="000A2993">
              <w:rPr>
                <w:rFonts w:asciiTheme="majorBidi" w:hAnsiTheme="majorBidi" w:cstheme="majorBidi"/>
              </w:rPr>
              <w:t>Programme strategy: main challenges and policy responses</w:t>
            </w:r>
            <w:r>
              <w:rPr>
                <w:rFonts w:asciiTheme="majorBidi" w:hAnsiTheme="majorBidi" w:cstheme="majorBidi"/>
              </w:rPr>
              <w:t>.</w:t>
            </w:r>
          </w:p>
          <w:p w14:paraId="2A8EBD9F" w14:textId="5BA2CC6A" w:rsidR="000A2993" w:rsidRPr="00FD3DF5" w:rsidRDefault="000A2993" w:rsidP="00FD3DF5">
            <w:pPr>
              <w:rPr>
                <w:rFonts w:asciiTheme="majorBidi" w:hAnsiTheme="majorBidi" w:cstheme="majorBidi"/>
              </w:rPr>
            </w:pPr>
            <w:r>
              <w:rPr>
                <w:rFonts w:asciiTheme="majorBidi" w:hAnsiTheme="majorBidi" w:cstheme="majorBidi"/>
              </w:rPr>
              <w:lastRenderedPageBreak/>
              <w:t>As the Commission compliments EE in the following paragraph regarding section 1, we consider the horizontal comment</w:t>
            </w:r>
            <w:r w:rsidR="00230BA8">
              <w:rPr>
                <w:rFonts w:asciiTheme="majorBidi" w:hAnsiTheme="majorBidi" w:cstheme="majorBidi"/>
              </w:rPr>
              <w:t xml:space="preserve"> is</w:t>
            </w:r>
            <w:r>
              <w:rPr>
                <w:rFonts w:asciiTheme="majorBidi" w:hAnsiTheme="majorBidi" w:cstheme="majorBidi"/>
              </w:rPr>
              <w:t xml:space="preserve"> fulfilled.</w:t>
            </w:r>
          </w:p>
        </w:tc>
        <w:tc>
          <w:tcPr>
            <w:tcW w:w="3527" w:type="dxa"/>
          </w:tcPr>
          <w:p w14:paraId="410D4E95" w14:textId="4D039CFA" w:rsidR="00AB695E" w:rsidRPr="00FD3DF5" w:rsidRDefault="00AB695E" w:rsidP="00A470D1">
            <w:pPr>
              <w:rPr>
                <w:rFonts w:asciiTheme="majorBidi" w:hAnsiTheme="majorBidi" w:cstheme="majorBidi"/>
              </w:rPr>
            </w:pPr>
          </w:p>
        </w:tc>
        <w:tc>
          <w:tcPr>
            <w:tcW w:w="2940" w:type="dxa"/>
          </w:tcPr>
          <w:p w14:paraId="0159B0AA" w14:textId="77777777" w:rsidR="00AB695E" w:rsidRDefault="00AB695E" w:rsidP="00A470D1">
            <w:pPr>
              <w:rPr>
                <w:rFonts w:asciiTheme="majorBidi" w:hAnsiTheme="majorBidi" w:cstheme="majorBidi"/>
              </w:rPr>
            </w:pPr>
          </w:p>
        </w:tc>
      </w:tr>
      <w:tr w:rsidR="00AB695E" w14:paraId="20D34CC3" w14:textId="68DB16CA" w:rsidTr="00AB695E">
        <w:tc>
          <w:tcPr>
            <w:tcW w:w="471" w:type="dxa"/>
          </w:tcPr>
          <w:p w14:paraId="49B4FB7D" w14:textId="77777777" w:rsidR="00AB695E" w:rsidRPr="005E3D6E" w:rsidRDefault="00AB695E">
            <w:pPr>
              <w:rPr>
                <w:rFonts w:ascii="Times New Roman" w:hAnsi="Times New Roman" w:cs="Times New Roman"/>
              </w:rPr>
            </w:pPr>
            <w:r w:rsidRPr="005E3D6E">
              <w:rPr>
                <w:rFonts w:ascii="Times New Roman" w:hAnsi="Times New Roman" w:cs="Times New Roman"/>
              </w:rPr>
              <w:t>2</w:t>
            </w:r>
          </w:p>
        </w:tc>
        <w:tc>
          <w:tcPr>
            <w:tcW w:w="3524" w:type="dxa"/>
          </w:tcPr>
          <w:p w14:paraId="3F20B6EA" w14:textId="2B8A0F57" w:rsidR="00AB695E" w:rsidRPr="00FD3DF5" w:rsidRDefault="00DA3220" w:rsidP="00FD3DF5">
            <w:pPr>
              <w:rPr>
                <w:rFonts w:asciiTheme="majorBidi" w:hAnsiTheme="majorBidi" w:cstheme="majorBidi"/>
              </w:rPr>
            </w:pPr>
            <w:r w:rsidRPr="00DA3220">
              <w:rPr>
                <w:rFonts w:asciiTheme="majorBidi" w:hAnsiTheme="majorBidi" w:cstheme="majorBidi"/>
              </w:rPr>
              <w:t>The Commission services invite the Estonian authorities to move the indicative list of possible actions under their respective implementing measures to improve the presentation of what would be funded under the programme.</w:t>
            </w:r>
          </w:p>
        </w:tc>
        <w:tc>
          <w:tcPr>
            <w:tcW w:w="3486" w:type="dxa"/>
          </w:tcPr>
          <w:p w14:paraId="6515F3F1" w14:textId="4B882AC1" w:rsidR="00704A92" w:rsidRPr="00FD3DF5" w:rsidRDefault="00DA3220" w:rsidP="00704A92">
            <w:pPr>
              <w:rPr>
                <w:rFonts w:asciiTheme="majorBidi" w:hAnsiTheme="majorBidi" w:cstheme="majorBidi"/>
              </w:rPr>
            </w:pPr>
            <w:r>
              <w:rPr>
                <w:rFonts w:asciiTheme="majorBidi" w:hAnsiTheme="majorBidi" w:cstheme="majorBidi"/>
              </w:rPr>
              <w:t>We have made corrections according to</w:t>
            </w:r>
            <w:r w:rsidR="00704A92">
              <w:rPr>
                <w:rFonts w:asciiTheme="majorBidi" w:hAnsiTheme="majorBidi" w:cstheme="majorBidi"/>
              </w:rPr>
              <w:t xml:space="preserve"> the Commission</w:t>
            </w:r>
            <w:r w:rsidR="00C37539">
              <w:rPr>
                <w:rFonts w:asciiTheme="majorBidi" w:hAnsiTheme="majorBidi" w:cstheme="majorBidi"/>
              </w:rPr>
              <w:t>’s</w:t>
            </w:r>
            <w:r w:rsidR="00704A92">
              <w:rPr>
                <w:rFonts w:asciiTheme="majorBidi" w:hAnsiTheme="majorBidi" w:cstheme="majorBidi"/>
              </w:rPr>
              <w:t xml:space="preserve"> proposal.</w:t>
            </w:r>
          </w:p>
        </w:tc>
        <w:tc>
          <w:tcPr>
            <w:tcW w:w="3527" w:type="dxa"/>
          </w:tcPr>
          <w:p w14:paraId="163C4297" w14:textId="792EB3E2" w:rsidR="00AB695E" w:rsidRPr="0062755F" w:rsidRDefault="00AB695E" w:rsidP="008E246F">
            <w:pPr>
              <w:rPr>
                <w:rFonts w:asciiTheme="majorBidi" w:hAnsiTheme="majorBidi" w:cstheme="majorBidi"/>
              </w:rPr>
            </w:pPr>
          </w:p>
        </w:tc>
        <w:tc>
          <w:tcPr>
            <w:tcW w:w="2940" w:type="dxa"/>
          </w:tcPr>
          <w:p w14:paraId="38062398" w14:textId="49FAEA8E" w:rsidR="00AB695E" w:rsidRPr="007E3235" w:rsidRDefault="00AB695E" w:rsidP="007E3235">
            <w:pPr>
              <w:rPr>
                <w:rFonts w:asciiTheme="majorBidi" w:hAnsiTheme="majorBidi" w:cstheme="majorBidi"/>
                <w:b/>
                <w:bCs/>
              </w:rPr>
            </w:pPr>
          </w:p>
        </w:tc>
      </w:tr>
      <w:tr w:rsidR="00AB695E" w14:paraId="50E468A9" w14:textId="5E9045D9" w:rsidTr="00AB695E">
        <w:tc>
          <w:tcPr>
            <w:tcW w:w="471" w:type="dxa"/>
          </w:tcPr>
          <w:p w14:paraId="65348744" w14:textId="77777777" w:rsidR="00AB695E" w:rsidRPr="005E3D6E" w:rsidRDefault="00AB695E">
            <w:pPr>
              <w:rPr>
                <w:rFonts w:ascii="Times New Roman" w:hAnsi="Times New Roman" w:cs="Times New Roman"/>
              </w:rPr>
            </w:pPr>
            <w:r w:rsidRPr="005E3D6E">
              <w:rPr>
                <w:rFonts w:ascii="Times New Roman" w:hAnsi="Times New Roman" w:cs="Times New Roman"/>
              </w:rPr>
              <w:t>3</w:t>
            </w:r>
          </w:p>
        </w:tc>
        <w:tc>
          <w:tcPr>
            <w:tcW w:w="3524" w:type="dxa"/>
          </w:tcPr>
          <w:p w14:paraId="2B361EE9" w14:textId="5BE8479A" w:rsidR="00AB695E" w:rsidRPr="00FD3DF5" w:rsidRDefault="00DA3220" w:rsidP="00FD3DF5">
            <w:pPr>
              <w:rPr>
                <w:rFonts w:asciiTheme="majorBidi" w:hAnsiTheme="majorBidi" w:cstheme="majorBidi"/>
              </w:rPr>
            </w:pPr>
            <w:r w:rsidRPr="00DA3220">
              <w:rPr>
                <w:rFonts w:asciiTheme="majorBidi" w:hAnsiTheme="majorBidi" w:cstheme="majorBidi"/>
              </w:rPr>
              <w:t>Concerning Result indicators, we invite the Estonian authorities to list year 2021 as reference year and set the baseline at “Zero” for all indicators.</w:t>
            </w:r>
          </w:p>
        </w:tc>
        <w:tc>
          <w:tcPr>
            <w:tcW w:w="3486" w:type="dxa"/>
          </w:tcPr>
          <w:p w14:paraId="667D4E22" w14:textId="00CE5CF6" w:rsidR="00015478" w:rsidRDefault="00DA3220" w:rsidP="00FD3DF5">
            <w:pPr>
              <w:rPr>
                <w:rFonts w:asciiTheme="majorBidi" w:hAnsiTheme="majorBidi" w:cstheme="majorBidi"/>
              </w:rPr>
            </w:pPr>
            <w:r>
              <w:rPr>
                <w:rFonts w:asciiTheme="majorBidi" w:hAnsiTheme="majorBidi" w:cstheme="majorBidi"/>
              </w:rPr>
              <w:t xml:space="preserve">All result indicator baselines have </w:t>
            </w:r>
            <w:r w:rsidR="00C37539">
              <w:rPr>
                <w:rFonts w:asciiTheme="majorBidi" w:hAnsiTheme="majorBidi" w:cstheme="majorBidi"/>
              </w:rPr>
              <w:t xml:space="preserve">been </w:t>
            </w:r>
            <w:r>
              <w:rPr>
                <w:rFonts w:asciiTheme="majorBidi" w:hAnsiTheme="majorBidi" w:cstheme="majorBidi"/>
              </w:rPr>
              <w:t>set at “Zero”</w:t>
            </w:r>
            <w:r w:rsidR="00C37539">
              <w:rPr>
                <w:rFonts w:asciiTheme="majorBidi" w:hAnsiTheme="majorBidi" w:cstheme="majorBidi"/>
              </w:rPr>
              <w:t>.</w:t>
            </w:r>
            <w:r w:rsidR="00015478">
              <w:rPr>
                <w:rFonts w:asciiTheme="majorBidi" w:hAnsiTheme="majorBidi" w:cstheme="majorBidi"/>
              </w:rPr>
              <w:br/>
            </w:r>
          </w:p>
          <w:p w14:paraId="0C043630" w14:textId="6BEE9806" w:rsidR="00DF0B8B" w:rsidRPr="00FD3DF5" w:rsidRDefault="00704A92" w:rsidP="00FD3DF5">
            <w:pPr>
              <w:rPr>
                <w:rFonts w:asciiTheme="majorBidi" w:hAnsiTheme="majorBidi" w:cstheme="majorBidi"/>
              </w:rPr>
            </w:pPr>
            <w:r>
              <w:rPr>
                <w:rFonts w:asciiTheme="majorBidi" w:hAnsiTheme="majorBidi" w:cstheme="majorBidi"/>
              </w:rPr>
              <w:t>The SFC2021 does not allow to list only year 2021 as a reference year.</w:t>
            </w:r>
          </w:p>
          <w:p w14:paraId="564C9700" w14:textId="77777777" w:rsidR="00AB695E" w:rsidRPr="00FD3DF5" w:rsidRDefault="00AB695E" w:rsidP="00FD3DF5">
            <w:pPr>
              <w:rPr>
                <w:rFonts w:asciiTheme="majorBidi" w:hAnsiTheme="majorBidi" w:cstheme="majorBidi"/>
              </w:rPr>
            </w:pPr>
          </w:p>
        </w:tc>
        <w:tc>
          <w:tcPr>
            <w:tcW w:w="3527" w:type="dxa"/>
          </w:tcPr>
          <w:p w14:paraId="5349CA58" w14:textId="021AEA4A" w:rsidR="00AB695E" w:rsidRPr="00FD3DF5" w:rsidRDefault="00AB695E" w:rsidP="00A470D1">
            <w:pPr>
              <w:rPr>
                <w:rFonts w:asciiTheme="majorBidi" w:hAnsiTheme="majorBidi" w:cstheme="majorBidi"/>
              </w:rPr>
            </w:pPr>
          </w:p>
        </w:tc>
        <w:tc>
          <w:tcPr>
            <w:tcW w:w="2940" w:type="dxa"/>
          </w:tcPr>
          <w:p w14:paraId="5FD4888C" w14:textId="77777777" w:rsidR="00AB695E" w:rsidRDefault="00AB695E" w:rsidP="00A470D1">
            <w:pPr>
              <w:rPr>
                <w:rFonts w:asciiTheme="majorBidi" w:hAnsiTheme="majorBidi" w:cstheme="majorBidi"/>
              </w:rPr>
            </w:pPr>
          </w:p>
        </w:tc>
      </w:tr>
      <w:tr w:rsidR="00AB695E" w14:paraId="74EACD91" w14:textId="77874038" w:rsidTr="006F0EB3">
        <w:tc>
          <w:tcPr>
            <w:tcW w:w="471" w:type="dxa"/>
          </w:tcPr>
          <w:p w14:paraId="658FFB4D" w14:textId="77777777" w:rsidR="00AB695E" w:rsidRPr="005E3D6E" w:rsidRDefault="00AB695E">
            <w:pPr>
              <w:rPr>
                <w:rFonts w:ascii="Times New Roman" w:hAnsi="Times New Roman" w:cs="Times New Roman"/>
              </w:rPr>
            </w:pPr>
            <w:r w:rsidRPr="005E3D6E">
              <w:rPr>
                <w:rFonts w:ascii="Times New Roman" w:hAnsi="Times New Roman" w:cs="Times New Roman"/>
              </w:rPr>
              <w:t>4</w:t>
            </w:r>
          </w:p>
        </w:tc>
        <w:tc>
          <w:tcPr>
            <w:tcW w:w="3524" w:type="dxa"/>
          </w:tcPr>
          <w:p w14:paraId="5FA8A5FE" w14:textId="58084A81" w:rsidR="00AB695E" w:rsidRPr="00FD3DF5" w:rsidRDefault="00015478" w:rsidP="00FD3DF5">
            <w:pPr>
              <w:rPr>
                <w:rFonts w:asciiTheme="majorBidi" w:hAnsiTheme="majorBidi" w:cstheme="majorBidi"/>
                <w:lang w:val="en-IE"/>
              </w:rPr>
            </w:pPr>
            <w:r w:rsidRPr="00015478">
              <w:rPr>
                <w:rFonts w:asciiTheme="majorBidi" w:hAnsiTheme="majorBidi" w:cstheme="majorBidi"/>
              </w:rPr>
              <w:t xml:space="preserve">The Commission services note that the programme envisages support to campaigns (target of 3 under the output indicators O.2.4 on the number of information packages and campaigns to raise awareness of legal migration channels to the </w:t>
            </w:r>
            <w:r w:rsidRPr="00015478">
              <w:rPr>
                <w:rFonts w:asciiTheme="majorBidi" w:hAnsiTheme="majorBidi" w:cstheme="majorBidi"/>
              </w:rPr>
              <w:lastRenderedPageBreak/>
              <w:t>Union) and that there is a reference to EUR 900.000 on legal residence (amount under intervention code 010.Acquisition of legal residence). As we understand the text in Section 2 SO2 these indicators reflect the actions for</w:t>
            </w:r>
            <w:r>
              <w:rPr>
                <w:rFonts w:asciiTheme="majorBidi" w:hAnsiTheme="majorBidi" w:cstheme="majorBidi"/>
              </w:rPr>
              <w:t xml:space="preserve"> </w:t>
            </w:r>
            <w:r w:rsidRPr="00015478">
              <w:rPr>
                <w:rFonts w:asciiTheme="majorBidi" w:hAnsiTheme="majorBidi" w:cstheme="majorBidi"/>
              </w:rPr>
              <w:t>registration of third country nationals in Estonia and not for legal migration from outside the Union. The Estonian authorities are asked to confirm that there are no projects on legal migration planned and, if so, revise the text/ intervention code accordingly.</w:t>
            </w:r>
          </w:p>
        </w:tc>
        <w:tc>
          <w:tcPr>
            <w:tcW w:w="3486" w:type="dxa"/>
            <w:shd w:val="clear" w:color="auto" w:fill="FFFFFF" w:themeFill="background1"/>
          </w:tcPr>
          <w:p w14:paraId="750AB1A7" w14:textId="41DD1A89" w:rsidR="00B60F58" w:rsidRDefault="0050232F" w:rsidP="00B60F58">
            <w:pPr>
              <w:rPr>
                <w:rFonts w:ascii="Times New Roman" w:hAnsi="Times New Roman" w:cs="Times New Roman"/>
              </w:rPr>
            </w:pPr>
            <w:r>
              <w:rPr>
                <w:rFonts w:asciiTheme="majorBidi" w:hAnsiTheme="majorBidi" w:cstheme="majorBidi"/>
              </w:rPr>
              <w:lastRenderedPageBreak/>
              <w:t xml:space="preserve">EE plans to implement under Annex II 2 (b) </w:t>
            </w:r>
            <w:r w:rsidR="00B60F58" w:rsidRPr="00B60F58">
              <w:rPr>
                <w:rFonts w:asciiTheme="majorBidi" w:hAnsiTheme="majorBidi" w:cstheme="majorBidi"/>
              </w:rPr>
              <w:t xml:space="preserve">supporting measures to facilitate regular entry into and residence in the Union </w:t>
            </w:r>
            <w:r>
              <w:rPr>
                <w:rFonts w:asciiTheme="majorBidi" w:hAnsiTheme="majorBidi" w:cstheme="majorBidi"/>
              </w:rPr>
              <w:t>the following action:</w:t>
            </w:r>
            <w:r>
              <w:rPr>
                <w:rFonts w:asciiTheme="majorBidi" w:hAnsiTheme="majorBidi" w:cstheme="majorBidi"/>
              </w:rPr>
              <w:br/>
            </w:r>
          </w:p>
          <w:p w14:paraId="1234709B" w14:textId="42818456" w:rsidR="0050232F" w:rsidRPr="00B60F58" w:rsidRDefault="0050232F" w:rsidP="0050232F">
            <w:pPr>
              <w:numPr>
                <w:ilvl w:val="0"/>
                <w:numId w:val="6"/>
              </w:numPr>
              <w:rPr>
                <w:rFonts w:ascii="Times New Roman" w:hAnsi="Times New Roman" w:cs="Times New Roman"/>
              </w:rPr>
            </w:pPr>
            <w:r w:rsidRPr="00B60F58">
              <w:rPr>
                <w:rFonts w:ascii="Times New Roman" w:hAnsi="Times New Roman" w:cs="Times New Roman"/>
              </w:rPr>
              <w:lastRenderedPageBreak/>
              <w:t>migration counselling services</w:t>
            </w:r>
          </w:p>
          <w:p w14:paraId="366D44D9" w14:textId="77777777" w:rsidR="005974F2" w:rsidRDefault="005974F2" w:rsidP="00FD3DF5">
            <w:pPr>
              <w:rPr>
                <w:rFonts w:asciiTheme="majorBidi" w:hAnsiTheme="majorBidi" w:cstheme="majorBidi"/>
              </w:rPr>
            </w:pPr>
          </w:p>
          <w:p w14:paraId="2ACF09AA" w14:textId="45E19304" w:rsidR="004C3039" w:rsidRDefault="00E2375E" w:rsidP="00FD3DF5">
            <w:pPr>
              <w:rPr>
                <w:rFonts w:asciiTheme="majorBidi" w:hAnsiTheme="majorBidi" w:cstheme="majorBidi"/>
              </w:rPr>
            </w:pPr>
            <w:r>
              <w:rPr>
                <w:rFonts w:asciiTheme="majorBidi" w:hAnsiTheme="majorBidi" w:cstheme="majorBidi"/>
              </w:rPr>
              <w:t>The output indicator O.2.4 and referred sum EUR 900 000 are not connected. Th</w:t>
            </w:r>
            <w:r w:rsidR="008469D5">
              <w:rPr>
                <w:rFonts w:asciiTheme="majorBidi" w:hAnsiTheme="majorBidi" w:cstheme="majorBidi"/>
              </w:rPr>
              <w:t>e</w:t>
            </w:r>
            <w:r>
              <w:rPr>
                <w:rFonts w:asciiTheme="majorBidi" w:hAnsiTheme="majorBidi" w:cstheme="majorBidi"/>
              </w:rPr>
              <w:t xml:space="preserve"> sum</w:t>
            </w:r>
            <w:r w:rsidR="008469D5">
              <w:rPr>
                <w:rFonts w:asciiTheme="majorBidi" w:hAnsiTheme="majorBidi" w:cstheme="majorBidi"/>
              </w:rPr>
              <w:t xml:space="preserve"> EUR 900 000</w:t>
            </w:r>
            <w:r>
              <w:rPr>
                <w:rFonts w:asciiTheme="majorBidi" w:hAnsiTheme="majorBidi" w:cstheme="majorBidi"/>
              </w:rPr>
              <w:t xml:space="preserve"> will be directed to </w:t>
            </w:r>
            <w:r w:rsidR="00C60F7A">
              <w:rPr>
                <w:rFonts w:asciiTheme="majorBidi" w:hAnsiTheme="majorBidi" w:cstheme="majorBidi"/>
              </w:rPr>
              <w:t>the migration counselling service</w:t>
            </w:r>
            <w:r w:rsidR="008469D5">
              <w:rPr>
                <w:rFonts w:asciiTheme="majorBidi" w:hAnsiTheme="majorBidi" w:cstheme="majorBidi"/>
              </w:rPr>
              <w:t xml:space="preserve"> for which we have not set either output </w:t>
            </w:r>
            <w:proofErr w:type="gramStart"/>
            <w:r w:rsidR="008469D5">
              <w:rPr>
                <w:rFonts w:asciiTheme="majorBidi" w:hAnsiTheme="majorBidi" w:cstheme="majorBidi"/>
              </w:rPr>
              <w:t>nor</w:t>
            </w:r>
            <w:proofErr w:type="gramEnd"/>
            <w:r w:rsidR="008469D5">
              <w:rPr>
                <w:rFonts w:asciiTheme="majorBidi" w:hAnsiTheme="majorBidi" w:cstheme="majorBidi"/>
              </w:rPr>
              <w:t xml:space="preserve"> result indicator</w:t>
            </w:r>
            <w:r w:rsidR="00C60F7A">
              <w:rPr>
                <w:rFonts w:asciiTheme="majorBidi" w:hAnsiTheme="majorBidi" w:cstheme="majorBidi"/>
              </w:rPr>
              <w:t xml:space="preserve">. </w:t>
            </w:r>
          </w:p>
          <w:p w14:paraId="616FE148" w14:textId="29C02793" w:rsidR="00E923C0" w:rsidRDefault="0008468B" w:rsidP="00FD3DF5">
            <w:pPr>
              <w:rPr>
                <w:rFonts w:asciiTheme="majorBidi" w:hAnsiTheme="majorBidi" w:cstheme="majorBidi"/>
              </w:rPr>
            </w:pPr>
            <w:r>
              <w:rPr>
                <w:rFonts w:asciiTheme="majorBidi" w:hAnsiTheme="majorBidi" w:cstheme="majorBidi"/>
              </w:rPr>
              <w:t xml:space="preserve">According to the </w:t>
            </w:r>
            <w:r w:rsidRPr="0008468B">
              <w:rPr>
                <w:rFonts w:asciiTheme="majorBidi" w:hAnsiTheme="majorBidi" w:cstheme="majorBidi"/>
              </w:rPr>
              <w:t>Note on the performance framework for the 2021-2027 AMIF/ISF/BMVI</w:t>
            </w:r>
            <w:r>
              <w:rPr>
                <w:rFonts w:asciiTheme="majorBidi" w:hAnsiTheme="majorBidi" w:cstheme="majorBidi"/>
              </w:rPr>
              <w:t xml:space="preserve"> </w:t>
            </w:r>
            <w:r w:rsidR="002E7AFB">
              <w:rPr>
                <w:rFonts w:asciiTheme="majorBidi" w:hAnsiTheme="majorBidi" w:cstheme="majorBidi"/>
              </w:rPr>
              <w:t>(</w:t>
            </w:r>
            <w:proofErr w:type="gramStart"/>
            <w:r w:rsidR="002E7AFB">
              <w:rPr>
                <w:rFonts w:asciiTheme="majorBidi" w:hAnsiTheme="majorBidi" w:cstheme="majorBidi"/>
              </w:rPr>
              <w:t>Ares(</w:t>
            </w:r>
            <w:proofErr w:type="gramEnd"/>
            <w:r w:rsidR="002E7AFB">
              <w:rPr>
                <w:rFonts w:asciiTheme="majorBidi" w:hAnsiTheme="majorBidi" w:cstheme="majorBidi"/>
              </w:rPr>
              <w:t xml:space="preserve">2021)7915358) </w:t>
            </w:r>
            <w:r w:rsidR="008469D5">
              <w:rPr>
                <w:rFonts w:asciiTheme="majorBidi" w:hAnsiTheme="majorBidi" w:cstheme="majorBidi"/>
              </w:rPr>
              <w:t xml:space="preserve">it is not mandatory to </w:t>
            </w:r>
            <w:r w:rsidR="00E923C0">
              <w:rPr>
                <w:rFonts w:asciiTheme="majorBidi" w:hAnsiTheme="majorBidi" w:cstheme="majorBidi"/>
              </w:rPr>
              <w:t>set</w:t>
            </w:r>
            <w:r>
              <w:rPr>
                <w:rFonts w:asciiTheme="majorBidi" w:hAnsiTheme="majorBidi" w:cstheme="majorBidi"/>
              </w:rPr>
              <w:t xml:space="preserve"> indicator</w:t>
            </w:r>
            <w:r w:rsidR="00E923C0">
              <w:rPr>
                <w:rFonts w:asciiTheme="majorBidi" w:hAnsiTheme="majorBidi" w:cstheme="majorBidi"/>
              </w:rPr>
              <w:t xml:space="preserve">s for all activities. </w:t>
            </w:r>
          </w:p>
          <w:p w14:paraId="7076AB35" w14:textId="77777777" w:rsidR="00E923C0" w:rsidRDefault="00E923C0" w:rsidP="00FD3DF5">
            <w:pPr>
              <w:rPr>
                <w:rFonts w:asciiTheme="majorBidi" w:hAnsiTheme="majorBidi" w:cstheme="majorBidi"/>
              </w:rPr>
            </w:pPr>
          </w:p>
          <w:p w14:paraId="63F4E620" w14:textId="5D4BE77C" w:rsidR="00AB695E" w:rsidRPr="00FD3DF5" w:rsidRDefault="00E923C0" w:rsidP="004C3039">
            <w:pPr>
              <w:rPr>
                <w:rFonts w:asciiTheme="majorBidi" w:hAnsiTheme="majorBidi" w:cstheme="majorBidi"/>
              </w:rPr>
            </w:pPr>
            <w:r>
              <w:rPr>
                <w:rFonts w:asciiTheme="majorBidi" w:hAnsiTheme="majorBidi" w:cstheme="majorBidi"/>
              </w:rPr>
              <w:t xml:space="preserve">Under indicator </w:t>
            </w:r>
            <w:r w:rsidR="007C04F7">
              <w:rPr>
                <w:rFonts w:asciiTheme="majorBidi" w:hAnsiTheme="majorBidi" w:cstheme="majorBidi"/>
              </w:rPr>
              <w:t>O</w:t>
            </w:r>
            <w:r>
              <w:rPr>
                <w:rFonts w:asciiTheme="majorBidi" w:hAnsiTheme="majorBidi" w:cstheme="majorBidi"/>
              </w:rPr>
              <w:t xml:space="preserve">.2.4 only the information platforms and information campaigns </w:t>
            </w:r>
            <w:r w:rsidR="000D2C90">
              <w:rPr>
                <w:rFonts w:asciiTheme="majorBidi" w:hAnsiTheme="majorBidi" w:cstheme="majorBidi"/>
              </w:rPr>
              <w:t xml:space="preserve">will be measured and the </w:t>
            </w:r>
            <w:r w:rsidR="000D2C90" w:rsidRPr="000D2C90">
              <w:rPr>
                <w:rFonts w:asciiTheme="majorBidi" w:hAnsiTheme="majorBidi" w:cstheme="majorBidi"/>
              </w:rPr>
              <w:t>intervention code 003 “Integration measures – information and orientation, one stop shops”</w:t>
            </w:r>
            <w:r w:rsidR="000D2C90">
              <w:rPr>
                <w:rFonts w:asciiTheme="majorBidi" w:hAnsiTheme="majorBidi" w:cstheme="majorBidi"/>
              </w:rPr>
              <w:t xml:space="preserve"> will be used (</w:t>
            </w:r>
            <w:r w:rsidR="008469D5">
              <w:rPr>
                <w:rFonts w:asciiTheme="majorBidi" w:hAnsiTheme="majorBidi" w:cstheme="majorBidi"/>
              </w:rPr>
              <w:t>not the intervention code 010 “Acquisition of legal residence”</w:t>
            </w:r>
            <w:r w:rsidR="000D2C90">
              <w:rPr>
                <w:rFonts w:asciiTheme="majorBidi" w:hAnsiTheme="majorBidi" w:cstheme="majorBidi"/>
              </w:rPr>
              <w:t>)</w:t>
            </w:r>
            <w:r>
              <w:rPr>
                <w:rFonts w:asciiTheme="majorBidi" w:hAnsiTheme="majorBidi" w:cstheme="majorBidi"/>
              </w:rPr>
              <w:t xml:space="preserve">.   </w:t>
            </w:r>
            <w:r w:rsidR="0008468B">
              <w:rPr>
                <w:rFonts w:asciiTheme="majorBidi" w:hAnsiTheme="majorBidi" w:cstheme="majorBidi"/>
              </w:rPr>
              <w:t xml:space="preserve"> </w:t>
            </w:r>
            <w:r w:rsidR="00C60F7A">
              <w:rPr>
                <w:rFonts w:asciiTheme="majorBidi" w:hAnsiTheme="majorBidi" w:cstheme="majorBidi"/>
              </w:rPr>
              <w:t xml:space="preserve"> </w:t>
            </w:r>
          </w:p>
        </w:tc>
        <w:tc>
          <w:tcPr>
            <w:tcW w:w="3527" w:type="dxa"/>
          </w:tcPr>
          <w:p w14:paraId="452D4632" w14:textId="0D921254" w:rsidR="00AB695E" w:rsidRPr="00FD3DF5" w:rsidRDefault="00AB695E" w:rsidP="00A64405">
            <w:pPr>
              <w:rPr>
                <w:rFonts w:asciiTheme="majorBidi" w:hAnsiTheme="majorBidi" w:cstheme="majorBidi"/>
              </w:rPr>
            </w:pPr>
          </w:p>
        </w:tc>
        <w:tc>
          <w:tcPr>
            <w:tcW w:w="2940" w:type="dxa"/>
          </w:tcPr>
          <w:p w14:paraId="1AB78AA0" w14:textId="511F254F" w:rsidR="00D33C39" w:rsidRDefault="00D33C39" w:rsidP="00A36DE4">
            <w:pPr>
              <w:rPr>
                <w:rFonts w:asciiTheme="majorBidi" w:hAnsiTheme="majorBidi" w:cstheme="majorBidi"/>
              </w:rPr>
            </w:pPr>
          </w:p>
        </w:tc>
      </w:tr>
      <w:tr w:rsidR="00AB695E" w14:paraId="5BB71F93" w14:textId="0E4DCD5B" w:rsidTr="00AB695E">
        <w:tc>
          <w:tcPr>
            <w:tcW w:w="471" w:type="dxa"/>
          </w:tcPr>
          <w:p w14:paraId="6EDD38F8" w14:textId="77777777" w:rsidR="00AB695E" w:rsidRPr="005E3D6E" w:rsidRDefault="00AB695E" w:rsidP="00463D80">
            <w:pPr>
              <w:rPr>
                <w:rFonts w:ascii="Times New Roman" w:hAnsi="Times New Roman" w:cs="Times New Roman"/>
              </w:rPr>
            </w:pPr>
            <w:r w:rsidRPr="005E3D6E">
              <w:rPr>
                <w:rFonts w:ascii="Times New Roman" w:hAnsi="Times New Roman" w:cs="Times New Roman"/>
              </w:rPr>
              <w:t>5</w:t>
            </w:r>
          </w:p>
        </w:tc>
        <w:tc>
          <w:tcPr>
            <w:tcW w:w="3524" w:type="dxa"/>
          </w:tcPr>
          <w:p w14:paraId="37DF87B1" w14:textId="36BBA65A" w:rsidR="00AB695E" w:rsidRPr="00FD3DF5" w:rsidRDefault="00015478" w:rsidP="00FD3DF5">
            <w:pPr>
              <w:rPr>
                <w:rFonts w:asciiTheme="majorBidi" w:hAnsiTheme="majorBidi" w:cstheme="majorBidi"/>
                <w:lang w:val="en-IE"/>
              </w:rPr>
            </w:pPr>
            <w:r w:rsidRPr="00015478">
              <w:rPr>
                <w:rFonts w:asciiTheme="majorBidi" w:hAnsiTheme="majorBidi" w:cstheme="majorBidi"/>
                <w:lang w:val="en-IE"/>
              </w:rPr>
              <w:t xml:space="preserve">The programme refers to actions in third countries, where it states that external actions will continue to be implemented in complementarity to the Neighbourhood, Development and International Cooperation Instrument and Instrument for Pre-Accession Assistance that are and will remain the primary tools to </w:t>
            </w:r>
            <w:r w:rsidRPr="00015478">
              <w:rPr>
                <w:rFonts w:asciiTheme="majorBidi" w:hAnsiTheme="majorBidi" w:cstheme="majorBidi"/>
                <w:lang w:val="en-IE"/>
              </w:rPr>
              <w:lastRenderedPageBreak/>
              <w:t xml:space="preserve">support the external dimension of the Union’s migration and security policy. Please clarify whether the AMIF programme </w:t>
            </w:r>
            <w:proofErr w:type="gramStart"/>
            <w:r w:rsidRPr="00015478">
              <w:rPr>
                <w:rFonts w:asciiTheme="majorBidi" w:hAnsiTheme="majorBidi" w:cstheme="majorBidi"/>
                <w:lang w:val="en-IE"/>
              </w:rPr>
              <w:t>actually supports</w:t>
            </w:r>
            <w:proofErr w:type="gramEnd"/>
            <w:r w:rsidRPr="00015478">
              <w:rPr>
                <w:rFonts w:asciiTheme="majorBidi" w:hAnsiTheme="majorBidi" w:cstheme="majorBidi"/>
                <w:lang w:val="en-IE"/>
              </w:rPr>
              <w:t xml:space="preserve"> such actions or whether you mean that such actions are supported by NDICI in complementarity with AMIF.</w:t>
            </w:r>
          </w:p>
        </w:tc>
        <w:tc>
          <w:tcPr>
            <w:tcW w:w="3486" w:type="dxa"/>
          </w:tcPr>
          <w:p w14:paraId="0E9DA10C" w14:textId="43FC6CFE" w:rsidR="00027DA2" w:rsidRDefault="00015478" w:rsidP="00FD3DF5">
            <w:pPr>
              <w:rPr>
                <w:rFonts w:ascii="Times New Roman" w:hAnsi="Times New Roman" w:cs="Times New Roman"/>
              </w:rPr>
            </w:pPr>
            <w:r>
              <w:rPr>
                <w:rFonts w:asciiTheme="majorBidi" w:hAnsiTheme="majorBidi" w:cstheme="majorBidi"/>
              </w:rPr>
              <w:lastRenderedPageBreak/>
              <w:t xml:space="preserve">EE AMIF programme does not support actions in third countries. We have amended the text accordingly (in </w:t>
            </w:r>
            <w:r w:rsidR="00AE47CC" w:rsidRPr="00AE47CC">
              <w:rPr>
                <w:rFonts w:asciiTheme="majorBidi" w:hAnsiTheme="majorBidi" w:cstheme="majorBidi"/>
                <w:i/>
                <w:iCs/>
              </w:rPr>
              <w:t>I</w:t>
            </w:r>
            <w:r w:rsidRPr="00AE47CC">
              <w:rPr>
                <w:rFonts w:asciiTheme="majorBidi" w:hAnsiTheme="majorBidi" w:cstheme="majorBidi"/>
                <w:i/>
                <w:iCs/>
              </w:rPr>
              <w:t>talic</w:t>
            </w:r>
            <w:r>
              <w:rPr>
                <w:rFonts w:asciiTheme="majorBidi" w:hAnsiTheme="majorBidi" w:cstheme="majorBidi"/>
              </w:rPr>
              <w:t>):</w:t>
            </w:r>
            <w:r>
              <w:rPr>
                <w:rFonts w:asciiTheme="majorBidi" w:hAnsiTheme="majorBidi" w:cstheme="majorBidi"/>
              </w:rPr>
              <w:br/>
            </w:r>
            <w:r w:rsidR="00AE47CC">
              <w:rPr>
                <w:rFonts w:ascii="Times New Roman" w:hAnsi="Times New Roman" w:cs="Times New Roman"/>
              </w:rPr>
              <w:t>“</w:t>
            </w:r>
            <w:r w:rsidRPr="00AE47CC">
              <w:rPr>
                <w:rFonts w:ascii="Times New Roman" w:hAnsi="Times New Roman" w:cs="Times New Roman"/>
              </w:rPr>
              <w:t xml:space="preserve">AMIF is the main instrument to provide support for the reception of TCNs. </w:t>
            </w:r>
            <w:r w:rsidRPr="00AE47CC">
              <w:rPr>
                <w:rFonts w:ascii="Times New Roman" w:hAnsi="Times New Roman" w:cs="Times New Roman"/>
                <w:i/>
                <w:iCs/>
              </w:rPr>
              <w:t>In complement to AMIF, the external actions will continue to be implemented by the</w:t>
            </w:r>
            <w:r w:rsidRPr="00AE47CC">
              <w:rPr>
                <w:rFonts w:ascii="Times New Roman" w:hAnsi="Times New Roman" w:cs="Times New Roman"/>
              </w:rPr>
              <w:t xml:space="preserve"> Neighbourhood, </w:t>
            </w:r>
            <w:r w:rsidRPr="00AE47CC">
              <w:rPr>
                <w:rFonts w:ascii="Times New Roman" w:hAnsi="Times New Roman" w:cs="Times New Roman"/>
              </w:rPr>
              <w:lastRenderedPageBreak/>
              <w:t>Development and International Cooperation Instrument and Instrument for Pre-Accession Assistance that are and will remain the primary tools to support the external dimension of the Union’s migration and security policy.</w:t>
            </w:r>
            <w:r w:rsidR="00AE47CC">
              <w:rPr>
                <w:rFonts w:ascii="Times New Roman" w:hAnsi="Times New Roman" w:cs="Times New Roman"/>
              </w:rPr>
              <w:t>”</w:t>
            </w:r>
          </w:p>
          <w:p w14:paraId="1565660C" w14:textId="5E7DD96B" w:rsidR="00027DA2" w:rsidRPr="00FD3DF5" w:rsidRDefault="00027DA2" w:rsidP="00FD3DF5">
            <w:pPr>
              <w:rPr>
                <w:rFonts w:asciiTheme="majorBidi" w:hAnsiTheme="majorBidi" w:cstheme="majorBidi"/>
              </w:rPr>
            </w:pPr>
          </w:p>
        </w:tc>
        <w:tc>
          <w:tcPr>
            <w:tcW w:w="3527" w:type="dxa"/>
          </w:tcPr>
          <w:p w14:paraId="6E089E8B" w14:textId="53BA2AA0" w:rsidR="00AB695E" w:rsidRPr="00FD3DF5" w:rsidRDefault="00AB695E" w:rsidP="00FD3DF5">
            <w:pPr>
              <w:rPr>
                <w:rFonts w:asciiTheme="majorBidi" w:hAnsiTheme="majorBidi" w:cstheme="majorBidi"/>
              </w:rPr>
            </w:pPr>
          </w:p>
        </w:tc>
        <w:tc>
          <w:tcPr>
            <w:tcW w:w="2940" w:type="dxa"/>
          </w:tcPr>
          <w:p w14:paraId="59CBDC7F" w14:textId="77777777" w:rsidR="00AB695E" w:rsidRDefault="00AB695E" w:rsidP="00FD3DF5">
            <w:pPr>
              <w:rPr>
                <w:rFonts w:asciiTheme="majorBidi" w:hAnsiTheme="majorBidi" w:cstheme="majorBidi"/>
              </w:rPr>
            </w:pPr>
          </w:p>
        </w:tc>
      </w:tr>
      <w:tr w:rsidR="00AB695E" w:rsidRPr="00075EA3" w14:paraId="481DF2FE" w14:textId="517E0154" w:rsidTr="00AB695E">
        <w:tc>
          <w:tcPr>
            <w:tcW w:w="471" w:type="dxa"/>
          </w:tcPr>
          <w:p w14:paraId="246C3D52" w14:textId="6452CA89" w:rsidR="00AB695E" w:rsidRDefault="00AE47CC" w:rsidP="00463D80">
            <w:r>
              <w:t>6</w:t>
            </w:r>
          </w:p>
        </w:tc>
        <w:tc>
          <w:tcPr>
            <w:tcW w:w="3524" w:type="dxa"/>
          </w:tcPr>
          <w:p w14:paraId="67794237" w14:textId="386AD02D" w:rsidR="00AB695E" w:rsidRPr="00FD3DF5" w:rsidRDefault="00AB695E" w:rsidP="00FD3DF5">
            <w:pPr>
              <w:rPr>
                <w:rFonts w:asciiTheme="majorBidi" w:hAnsiTheme="majorBidi" w:cstheme="majorBidi"/>
              </w:rPr>
            </w:pPr>
            <w:r w:rsidRPr="00FD3DF5">
              <w:rPr>
                <w:rFonts w:asciiTheme="majorBidi" w:hAnsiTheme="majorBidi" w:cstheme="majorBidi"/>
              </w:rPr>
              <w:t>Section 4 – Enabling conditions</w:t>
            </w:r>
            <w:r w:rsidRPr="00FD3DF5">
              <w:rPr>
                <w:rFonts w:asciiTheme="majorBidi" w:hAnsiTheme="majorBidi" w:cstheme="majorBidi"/>
              </w:rPr>
              <w:br/>
            </w:r>
          </w:p>
        </w:tc>
        <w:tc>
          <w:tcPr>
            <w:tcW w:w="3486" w:type="dxa"/>
          </w:tcPr>
          <w:p w14:paraId="182F4A10" w14:textId="1DEF70DB" w:rsidR="00AB695E" w:rsidRDefault="00AB695E" w:rsidP="00075EA3">
            <w:pPr>
              <w:rPr>
                <w:rFonts w:asciiTheme="majorBidi" w:hAnsiTheme="majorBidi" w:cstheme="majorBidi"/>
              </w:rPr>
            </w:pPr>
            <w:r w:rsidRPr="00FD3DF5">
              <w:rPr>
                <w:rFonts w:asciiTheme="majorBidi" w:hAnsiTheme="majorBidi" w:cstheme="majorBidi"/>
              </w:rPr>
              <w:t xml:space="preserve">The Estonian Ministry of the Interior works very closely with the Estonian Ministry of Finance who is responsible for Cohesion </w:t>
            </w:r>
            <w:r w:rsidR="00AE47CC">
              <w:rPr>
                <w:rFonts w:asciiTheme="majorBidi" w:hAnsiTheme="majorBidi" w:cstheme="majorBidi"/>
              </w:rPr>
              <w:t>funds</w:t>
            </w:r>
            <w:r w:rsidRPr="00FD3DF5">
              <w:rPr>
                <w:rFonts w:asciiTheme="majorBidi" w:hAnsiTheme="majorBidi" w:cstheme="majorBidi"/>
              </w:rPr>
              <w:t xml:space="preserve">. We have aligned the horizontal enabling conditions and continue the collaboration. The renewed document of </w:t>
            </w:r>
            <w:r w:rsidR="00BF42D9">
              <w:rPr>
                <w:rFonts w:asciiTheme="majorBidi" w:hAnsiTheme="majorBidi" w:cstheme="majorBidi"/>
              </w:rPr>
              <w:t xml:space="preserve">the </w:t>
            </w:r>
            <w:r w:rsidRPr="00FD3DF5">
              <w:rPr>
                <w:rFonts w:asciiTheme="majorBidi" w:hAnsiTheme="majorBidi" w:cstheme="majorBidi"/>
              </w:rPr>
              <w:t xml:space="preserve">long version of HEC </w:t>
            </w:r>
            <w:r w:rsidR="00BF42D9" w:rsidRPr="00BF42D9">
              <w:rPr>
                <w:rFonts w:asciiTheme="majorBidi" w:hAnsiTheme="majorBidi" w:cstheme="majorBidi"/>
              </w:rPr>
              <w:t>(ver. 06.07.2022)</w:t>
            </w:r>
            <w:r w:rsidR="00BF42D9">
              <w:rPr>
                <w:rFonts w:asciiTheme="majorBidi" w:hAnsiTheme="majorBidi" w:cstheme="majorBidi"/>
              </w:rPr>
              <w:t xml:space="preserve"> </w:t>
            </w:r>
            <w:r w:rsidR="00AE47CC">
              <w:rPr>
                <w:rFonts w:asciiTheme="majorBidi" w:hAnsiTheme="majorBidi" w:cstheme="majorBidi"/>
              </w:rPr>
              <w:t>has been added</w:t>
            </w:r>
            <w:r w:rsidRPr="00FD3DF5">
              <w:rPr>
                <w:rFonts w:asciiTheme="majorBidi" w:hAnsiTheme="majorBidi" w:cstheme="majorBidi"/>
              </w:rPr>
              <w:t xml:space="preserve"> as a supplementary document of the </w:t>
            </w:r>
            <w:r w:rsidR="00AE47CC">
              <w:rPr>
                <w:rFonts w:asciiTheme="majorBidi" w:hAnsiTheme="majorBidi" w:cstheme="majorBidi"/>
              </w:rPr>
              <w:t>AMIF</w:t>
            </w:r>
            <w:r w:rsidRPr="00FD3DF5">
              <w:rPr>
                <w:rFonts w:asciiTheme="majorBidi" w:hAnsiTheme="majorBidi" w:cstheme="majorBidi"/>
              </w:rPr>
              <w:t xml:space="preserve"> programme.</w:t>
            </w:r>
          </w:p>
          <w:p w14:paraId="4A15B72B" w14:textId="77777777" w:rsidR="00AE47CC" w:rsidRDefault="00AE47CC" w:rsidP="00075EA3">
            <w:pPr>
              <w:rPr>
                <w:rFonts w:asciiTheme="majorBidi" w:hAnsiTheme="majorBidi" w:cstheme="majorBidi"/>
              </w:rPr>
            </w:pPr>
          </w:p>
          <w:p w14:paraId="31EE1724" w14:textId="595BC544" w:rsidR="00AE47CC" w:rsidRPr="00FD3DF5" w:rsidRDefault="00AE47CC" w:rsidP="00075EA3">
            <w:pPr>
              <w:rPr>
                <w:rFonts w:asciiTheme="majorBidi" w:hAnsiTheme="majorBidi" w:cstheme="majorBidi"/>
              </w:rPr>
            </w:pPr>
            <w:r>
              <w:rPr>
                <w:rFonts w:asciiTheme="majorBidi" w:hAnsiTheme="majorBidi" w:cstheme="majorBidi"/>
              </w:rPr>
              <w:t xml:space="preserve">The text is coherent but not the same </w:t>
            </w:r>
            <w:r w:rsidRPr="00CA16D4">
              <w:rPr>
                <w:rFonts w:asciiTheme="majorBidi" w:hAnsiTheme="majorBidi" w:cstheme="majorBidi"/>
              </w:rPr>
              <w:t xml:space="preserve">as in Cohesion </w:t>
            </w:r>
            <w:proofErr w:type="gramStart"/>
            <w:r w:rsidRPr="00CA16D4">
              <w:rPr>
                <w:rFonts w:asciiTheme="majorBidi" w:hAnsiTheme="majorBidi" w:cstheme="majorBidi"/>
              </w:rPr>
              <w:t>funds</w:t>
            </w:r>
            <w:r>
              <w:rPr>
                <w:rFonts w:asciiTheme="majorBidi" w:hAnsiTheme="majorBidi" w:cstheme="majorBidi"/>
              </w:rPr>
              <w:t>, since</w:t>
            </w:r>
            <w:proofErr w:type="gramEnd"/>
            <w:r>
              <w:rPr>
                <w:rFonts w:asciiTheme="majorBidi" w:hAnsiTheme="majorBidi" w:cstheme="majorBidi"/>
              </w:rPr>
              <w:t xml:space="preserve"> Cohesion funds has its own monitoring committee and HOME funds a different one. The members of the committee are not all the same.</w:t>
            </w:r>
          </w:p>
        </w:tc>
        <w:tc>
          <w:tcPr>
            <w:tcW w:w="3527" w:type="dxa"/>
          </w:tcPr>
          <w:p w14:paraId="15FA8DC8" w14:textId="4BBE69E7" w:rsidR="00AB695E" w:rsidRPr="00075EA3" w:rsidRDefault="00AB695E" w:rsidP="00075EA3">
            <w:pPr>
              <w:rPr>
                <w:rFonts w:asciiTheme="majorBidi" w:hAnsiTheme="majorBidi" w:cstheme="majorBidi"/>
                <w:highlight w:val="green"/>
              </w:rPr>
            </w:pPr>
          </w:p>
        </w:tc>
        <w:tc>
          <w:tcPr>
            <w:tcW w:w="2940" w:type="dxa"/>
          </w:tcPr>
          <w:p w14:paraId="6A05CC4E" w14:textId="7BD2DF96" w:rsidR="00AB695E" w:rsidRPr="00075EA3" w:rsidRDefault="00AB695E" w:rsidP="00075EA3">
            <w:pPr>
              <w:rPr>
                <w:rFonts w:asciiTheme="majorBidi" w:hAnsiTheme="majorBidi" w:cstheme="majorBidi"/>
              </w:rPr>
            </w:pPr>
          </w:p>
        </w:tc>
      </w:tr>
    </w:tbl>
    <w:p w14:paraId="49BFA43B" w14:textId="77777777" w:rsidR="009B0605" w:rsidRPr="009B0605" w:rsidRDefault="009B0605" w:rsidP="00463D80"/>
    <w:p w14:paraId="580C48CB" w14:textId="77777777" w:rsidR="009B0605" w:rsidRPr="009B0605" w:rsidRDefault="009B0605" w:rsidP="00463D80"/>
    <w:sectPr w:rsidR="009B0605" w:rsidRPr="009B0605" w:rsidSect="009B060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7FAFB" w14:textId="77777777" w:rsidR="00D82573" w:rsidRDefault="00D82573" w:rsidP="002749F9">
      <w:pPr>
        <w:spacing w:after="0" w:line="240" w:lineRule="auto"/>
      </w:pPr>
      <w:r>
        <w:separator/>
      </w:r>
    </w:p>
  </w:endnote>
  <w:endnote w:type="continuationSeparator" w:id="0">
    <w:p w14:paraId="72ACAEC5" w14:textId="77777777" w:rsidR="00D82573" w:rsidRDefault="00D82573" w:rsidP="0027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8F468" w14:textId="77777777" w:rsidR="00D82573" w:rsidRDefault="00D82573" w:rsidP="002749F9">
      <w:pPr>
        <w:spacing w:after="0" w:line="240" w:lineRule="auto"/>
      </w:pPr>
      <w:r>
        <w:separator/>
      </w:r>
    </w:p>
  </w:footnote>
  <w:footnote w:type="continuationSeparator" w:id="0">
    <w:p w14:paraId="28D94913" w14:textId="77777777" w:rsidR="00D82573" w:rsidRDefault="00D82573" w:rsidP="002749F9">
      <w:pPr>
        <w:spacing w:after="0" w:line="240" w:lineRule="auto"/>
      </w:pPr>
      <w:r>
        <w:continuationSeparator/>
      </w:r>
    </w:p>
  </w:footnote>
  <w:footnote w:id="1">
    <w:p w14:paraId="75D550B5" w14:textId="77777777" w:rsidR="00AB695E" w:rsidRPr="002749F9" w:rsidRDefault="00AB695E">
      <w:pPr>
        <w:pStyle w:val="FootnoteText"/>
      </w:pPr>
      <w:r>
        <w:rPr>
          <w:rStyle w:val="FootnoteReference"/>
        </w:rPr>
        <w:footnoteRef/>
      </w:r>
      <w:r>
        <w:t xml:space="preserve"> </w:t>
      </w:r>
      <w:r w:rsidRPr="002749F9">
        <w:t xml:space="preserve">Please specify whether the programme’s adjustment is considered fully </w:t>
      </w:r>
      <w:r>
        <w:t>satisfactory with respect to the respective observation and or whether follow-up actions are considered/needed in the future</w:t>
      </w:r>
      <w:r w:rsidRPr="002749F9">
        <w:t xml:space="preserve"> </w:t>
      </w:r>
      <w:r>
        <w:t>(</w:t>
      </w:r>
      <w:proofErr w:type="gramStart"/>
      <w:r>
        <w:t>e.g.</w:t>
      </w:r>
      <w:proofErr w:type="gramEnd"/>
      <w:r>
        <w:t xml:space="preserve"> in the context of programme’s amendments).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E7E289D8">
      <w:start w:val="1"/>
      <w:numFmt w:val="bullet"/>
      <w:lvlText w:val=""/>
      <w:lvlJc w:val="left"/>
      <w:pPr>
        <w:ind w:left="720" w:hanging="360"/>
      </w:pPr>
      <w:rPr>
        <w:rFonts w:ascii="Symbol" w:hAnsi="Symbol"/>
      </w:rPr>
    </w:lvl>
    <w:lvl w:ilvl="1" w:tplc="B854F888">
      <w:start w:val="1"/>
      <w:numFmt w:val="bullet"/>
      <w:lvlText w:val="o"/>
      <w:lvlJc w:val="left"/>
      <w:pPr>
        <w:tabs>
          <w:tab w:val="num" w:pos="1440"/>
        </w:tabs>
        <w:ind w:left="1440" w:hanging="360"/>
      </w:pPr>
      <w:rPr>
        <w:rFonts w:ascii="Courier New" w:hAnsi="Courier New"/>
      </w:rPr>
    </w:lvl>
    <w:lvl w:ilvl="2" w:tplc="060A008C">
      <w:start w:val="1"/>
      <w:numFmt w:val="bullet"/>
      <w:lvlText w:val=""/>
      <w:lvlJc w:val="left"/>
      <w:pPr>
        <w:tabs>
          <w:tab w:val="num" w:pos="2160"/>
        </w:tabs>
        <w:ind w:left="2160" w:hanging="360"/>
      </w:pPr>
      <w:rPr>
        <w:rFonts w:ascii="Wingdings" w:hAnsi="Wingdings"/>
      </w:rPr>
    </w:lvl>
    <w:lvl w:ilvl="3" w:tplc="5E4A8F8E">
      <w:start w:val="1"/>
      <w:numFmt w:val="bullet"/>
      <w:lvlText w:val=""/>
      <w:lvlJc w:val="left"/>
      <w:pPr>
        <w:tabs>
          <w:tab w:val="num" w:pos="2880"/>
        </w:tabs>
        <w:ind w:left="2880" w:hanging="360"/>
      </w:pPr>
      <w:rPr>
        <w:rFonts w:ascii="Symbol" w:hAnsi="Symbol"/>
      </w:rPr>
    </w:lvl>
    <w:lvl w:ilvl="4" w:tplc="A72A6C58">
      <w:start w:val="1"/>
      <w:numFmt w:val="bullet"/>
      <w:lvlText w:val="o"/>
      <w:lvlJc w:val="left"/>
      <w:pPr>
        <w:tabs>
          <w:tab w:val="num" w:pos="3600"/>
        </w:tabs>
        <w:ind w:left="3600" w:hanging="360"/>
      </w:pPr>
      <w:rPr>
        <w:rFonts w:ascii="Courier New" w:hAnsi="Courier New"/>
      </w:rPr>
    </w:lvl>
    <w:lvl w:ilvl="5" w:tplc="D6786540">
      <w:start w:val="1"/>
      <w:numFmt w:val="bullet"/>
      <w:lvlText w:val=""/>
      <w:lvlJc w:val="left"/>
      <w:pPr>
        <w:tabs>
          <w:tab w:val="num" w:pos="4320"/>
        </w:tabs>
        <w:ind w:left="4320" w:hanging="360"/>
      </w:pPr>
      <w:rPr>
        <w:rFonts w:ascii="Wingdings" w:hAnsi="Wingdings"/>
      </w:rPr>
    </w:lvl>
    <w:lvl w:ilvl="6" w:tplc="E55C7CCE">
      <w:start w:val="1"/>
      <w:numFmt w:val="bullet"/>
      <w:lvlText w:val=""/>
      <w:lvlJc w:val="left"/>
      <w:pPr>
        <w:tabs>
          <w:tab w:val="num" w:pos="5040"/>
        </w:tabs>
        <w:ind w:left="5040" w:hanging="360"/>
      </w:pPr>
      <w:rPr>
        <w:rFonts w:ascii="Symbol" w:hAnsi="Symbol"/>
      </w:rPr>
    </w:lvl>
    <w:lvl w:ilvl="7" w:tplc="65DE90EE">
      <w:start w:val="1"/>
      <w:numFmt w:val="bullet"/>
      <w:lvlText w:val="o"/>
      <w:lvlJc w:val="left"/>
      <w:pPr>
        <w:tabs>
          <w:tab w:val="num" w:pos="5760"/>
        </w:tabs>
        <w:ind w:left="5760" w:hanging="360"/>
      </w:pPr>
      <w:rPr>
        <w:rFonts w:ascii="Courier New" w:hAnsi="Courier New"/>
      </w:rPr>
    </w:lvl>
    <w:lvl w:ilvl="8" w:tplc="74127480">
      <w:start w:val="1"/>
      <w:numFmt w:val="bullet"/>
      <w:lvlText w:val=""/>
      <w:lvlJc w:val="left"/>
      <w:pPr>
        <w:tabs>
          <w:tab w:val="num" w:pos="6480"/>
        </w:tabs>
        <w:ind w:left="6480" w:hanging="360"/>
      </w:pPr>
      <w:rPr>
        <w:rFonts w:ascii="Wingdings" w:hAnsi="Wingdings"/>
      </w:rPr>
    </w:lvl>
  </w:abstractNum>
  <w:abstractNum w:abstractNumId="1" w15:restartNumberingAfterBreak="0">
    <w:nsid w:val="368E1836"/>
    <w:multiLevelType w:val="hybridMultilevel"/>
    <w:tmpl w:val="114E3B30"/>
    <w:lvl w:ilvl="0" w:tplc="FAEE2E2E">
      <w:start w:val="1"/>
      <w:numFmt w:val="bullet"/>
      <w:lvlText w:val=""/>
      <w:lvlJc w:val="left"/>
      <w:pPr>
        <w:ind w:left="1919" w:hanging="360"/>
      </w:pPr>
      <w:rPr>
        <w:rFonts w:ascii="Symbol" w:hAnsi="Symbol" w:hint="default"/>
      </w:rPr>
    </w:lvl>
    <w:lvl w:ilvl="1" w:tplc="08090003">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tentative="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abstractNum w:abstractNumId="2" w15:restartNumberingAfterBreak="0">
    <w:nsid w:val="429E662A"/>
    <w:multiLevelType w:val="multilevel"/>
    <w:tmpl w:val="F6E08E56"/>
    <w:lvl w:ilvl="0">
      <w:start w:val="1"/>
      <w:numFmt w:val="decimal"/>
      <w:pStyle w:val="ListNumber1"/>
      <w:lvlText w:val="(%1)"/>
      <w:lvlJc w:val="left"/>
      <w:pPr>
        <w:tabs>
          <w:tab w:val="num" w:pos="709"/>
        </w:tabs>
        <w:ind w:left="709" w:hanging="709"/>
      </w:pPr>
      <w:rPr>
        <w:rFonts w:hint="default"/>
        <w:i w:val="0"/>
        <w:iCs w:val="0"/>
        <w:color w:val="000000" w:themeColor="text1"/>
        <w:sz w:val="24"/>
        <w:szCs w:val="24"/>
      </w:rPr>
    </w:lvl>
    <w:lvl w:ilvl="1">
      <w:start w:val="1"/>
      <w:numFmt w:val="lowerLetter"/>
      <w:pStyle w:val="ListNumber1Level2"/>
      <w:lvlText w:val="(%2)"/>
      <w:lvlJc w:val="left"/>
      <w:pPr>
        <w:tabs>
          <w:tab w:val="num" w:pos="1984"/>
        </w:tabs>
        <w:ind w:left="1984" w:hanging="708"/>
      </w:pPr>
      <w:rPr>
        <w:rFonts w:hint="default"/>
      </w:rPr>
    </w:lvl>
    <w:lvl w:ilvl="2">
      <w:start w:val="1"/>
      <w:numFmt w:val="bullet"/>
      <w:pStyle w:val="ListNumber1Level3"/>
      <w:lvlText w:val="–"/>
      <w:lvlJc w:val="left"/>
      <w:pPr>
        <w:tabs>
          <w:tab w:val="num" w:pos="2693"/>
        </w:tabs>
        <w:ind w:left="2693" w:hanging="709"/>
      </w:pPr>
      <w:rPr>
        <w:rFonts w:ascii="Times New Roman" w:hAnsi="Times New Roman" w:hint="default"/>
      </w:rPr>
    </w:lvl>
    <w:lvl w:ilvl="3">
      <w:start w:val="1"/>
      <w:numFmt w:val="bullet"/>
      <w:pStyle w:val="ListNumber1Level4"/>
      <w:lvlText w:val=""/>
      <w:lvlJc w:val="left"/>
      <w:pPr>
        <w:tabs>
          <w:tab w:val="num" w:pos="3402"/>
        </w:tabs>
        <w:ind w:left="3402" w:hanging="709"/>
      </w:pPr>
      <w:rPr>
        <w:rFonts w:ascii="Symbol" w:hAnsi="Symbol" w:hint="default"/>
      </w:rPr>
    </w:lvl>
    <w:lvl w:ilvl="4">
      <w:numFmt w:val="none"/>
      <w:lvlText w:val=""/>
      <w:lvlJc w:val="left"/>
      <w:pPr>
        <w:ind w:left="0" w:firstLine="0"/>
      </w:pPr>
      <w:rPr>
        <w:rFonts w:hint="default"/>
      </w:rPr>
    </w:lvl>
    <w:lvl w:ilvl="5">
      <w:numFmt w:val="none"/>
      <w:lvlText w:val=""/>
      <w:lvlJc w:val="left"/>
      <w:pPr>
        <w:ind w:left="0" w:firstLine="0"/>
      </w:pPr>
      <w:rPr>
        <w:rFonts w:hint="default"/>
      </w:rPr>
    </w:lvl>
    <w:lvl w:ilvl="6">
      <w:numFmt w:val="none"/>
      <w:lvlText w:val=""/>
      <w:lvlJc w:val="left"/>
      <w:pPr>
        <w:ind w:left="0" w:firstLine="0"/>
      </w:pPr>
      <w:rPr>
        <w:rFonts w:hint="default"/>
      </w:rPr>
    </w:lvl>
    <w:lvl w:ilvl="7">
      <w:numFmt w:val="none"/>
      <w:lvlText w:val=""/>
      <w:lvlJc w:val="left"/>
      <w:pPr>
        <w:ind w:left="0" w:firstLine="0"/>
      </w:pPr>
      <w:rPr>
        <w:rFonts w:hint="default"/>
      </w:rPr>
    </w:lvl>
    <w:lvl w:ilvl="8">
      <w:numFmt w:val="none"/>
      <w:lvlText w:val=""/>
      <w:lvlJc w:val="left"/>
      <w:pPr>
        <w:ind w:left="0" w:firstLine="0"/>
      </w:pPr>
      <w:rPr>
        <w:rFonts w:hint="default"/>
      </w:rPr>
    </w:lvl>
  </w:abstractNum>
  <w:abstractNum w:abstractNumId="3" w15:restartNumberingAfterBreak="0">
    <w:nsid w:val="58CA7441"/>
    <w:multiLevelType w:val="hybridMultilevel"/>
    <w:tmpl w:val="A92EEB74"/>
    <w:lvl w:ilvl="0" w:tplc="FCE2374C">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2CA1ED8"/>
    <w:multiLevelType w:val="hybridMultilevel"/>
    <w:tmpl w:val="D7F21A60"/>
    <w:lvl w:ilvl="0" w:tplc="5E7A0B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B0605"/>
    <w:rsid w:val="00015478"/>
    <w:rsid w:val="00027DA2"/>
    <w:rsid w:val="00075EA3"/>
    <w:rsid w:val="0008468B"/>
    <w:rsid w:val="000A2993"/>
    <w:rsid w:val="000D2C90"/>
    <w:rsid w:val="0012086F"/>
    <w:rsid w:val="001363D3"/>
    <w:rsid w:val="001909CD"/>
    <w:rsid w:val="00190B8E"/>
    <w:rsid w:val="001B73A1"/>
    <w:rsid w:val="001C5CCF"/>
    <w:rsid w:val="001F7E31"/>
    <w:rsid w:val="00230BA8"/>
    <w:rsid w:val="0027439B"/>
    <w:rsid w:val="002749F9"/>
    <w:rsid w:val="002760F0"/>
    <w:rsid w:val="002E7AFB"/>
    <w:rsid w:val="00415DB8"/>
    <w:rsid w:val="00436CD1"/>
    <w:rsid w:val="00463D80"/>
    <w:rsid w:val="00467435"/>
    <w:rsid w:val="004778B0"/>
    <w:rsid w:val="004C3039"/>
    <w:rsid w:val="0050232F"/>
    <w:rsid w:val="005208A5"/>
    <w:rsid w:val="00544F4E"/>
    <w:rsid w:val="005974F2"/>
    <w:rsid w:val="005B19D0"/>
    <w:rsid w:val="005C678B"/>
    <w:rsid w:val="005E3D6E"/>
    <w:rsid w:val="005E7245"/>
    <w:rsid w:val="005F67A4"/>
    <w:rsid w:val="0062755F"/>
    <w:rsid w:val="00633A8A"/>
    <w:rsid w:val="006B3373"/>
    <w:rsid w:val="006E09BD"/>
    <w:rsid w:val="006F0EB3"/>
    <w:rsid w:val="00704A92"/>
    <w:rsid w:val="00747B11"/>
    <w:rsid w:val="00771559"/>
    <w:rsid w:val="007A0835"/>
    <w:rsid w:val="007C04F7"/>
    <w:rsid w:val="007D354B"/>
    <w:rsid w:val="007E3235"/>
    <w:rsid w:val="007F019A"/>
    <w:rsid w:val="007F0EE4"/>
    <w:rsid w:val="008469D5"/>
    <w:rsid w:val="0087464C"/>
    <w:rsid w:val="008E246F"/>
    <w:rsid w:val="00900BB3"/>
    <w:rsid w:val="00906BA1"/>
    <w:rsid w:val="009B0605"/>
    <w:rsid w:val="009B3B94"/>
    <w:rsid w:val="00A06572"/>
    <w:rsid w:val="00A36DE4"/>
    <w:rsid w:val="00A430B8"/>
    <w:rsid w:val="00A470D1"/>
    <w:rsid w:val="00A5656F"/>
    <w:rsid w:val="00A64405"/>
    <w:rsid w:val="00A70D1F"/>
    <w:rsid w:val="00AB695E"/>
    <w:rsid w:val="00AE47CC"/>
    <w:rsid w:val="00B26BF8"/>
    <w:rsid w:val="00B41B7A"/>
    <w:rsid w:val="00B60F58"/>
    <w:rsid w:val="00BF42D9"/>
    <w:rsid w:val="00C15877"/>
    <w:rsid w:val="00C363BB"/>
    <w:rsid w:val="00C37539"/>
    <w:rsid w:val="00C60F7A"/>
    <w:rsid w:val="00CA16D4"/>
    <w:rsid w:val="00CA4DAC"/>
    <w:rsid w:val="00CC308B"/>
    <w:rsid w:val="00CF6E9F"/>
    <w:rsid w:val="00D22A79"/>
    <w:rsid w:val="00D33C39"/>
    <w:rsid w:val="00D35DEB"/>
    <w:rsid w:val="00D82573"/>
    <w:rsid w:val="00DA3220"/>
    <w:rsid w:val="00DF0B8B"/>
    <w:rsid w:val="00E10A73"/>
    <w:rsid w:val="00E2375E"/>
    <w:rsid w:val="00E63EEB"/>
    <w:rsid w:val="00E91D0A"/>
    <w:rsid w:val="00E923C0"/>
    <w:rsid w:val="00FD3D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021B"/>
  <w15:chartTrackingRefBased/>
  <w15:docId w15:val="{3977C1CC-F47B-4BFE-ABAA-B86AFBE7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0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749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49F9"/>
    <w:rPr>
      <w:sz w:val="20"/>
      <w:szCs w:val="20"/>
    </w:rPr>
  </w:style>
  <w:style w:type="character" w:styleId="FootnoteReference">
    <w:name w:val="footnote reference"/>
    <w:basedOn w:val="DefaultParagraphFont"/>
    <w:uiPriority w:val="99"/>
    <w:semiHidden/>
    <w:unhideWhenUsed/>
    <w:rsid w:val="002749F9"/>
    <w:rPr>
      <w:vertAlign w:val="superscript"/>
    </w:rPr>
  </w:style>
  <w:style w:type="character" w:styleId="CommentReference">
    <w:name w:val="annotation reference"/>
    <w:basedOn w:val="DefaultParagraphFont"/>
    <w:semiHidden/>
    <w:unhideWhenUsed/>
    <w:rsid w:val="00A5656F"/>
    <w:rPr>
      <w:sz w:val="16"/>
      <w:szCs w:val="16"/>
    </w:rPr>
  </w:style>
  <w:style w:type="paragraph" w:styleId="CommentText">
    <w:name w:val="annotation text"/>
    <w:basedOn w:val="Normal"/>
    <w:link w:val="CommentTextChar"/>
    <w:unhideWhenUsed/>
    <w:rsid w:val="00A5656F"/>
    <w:pPr>
      <w:spacing w:line="240" w:lineRule="auto"/>
    </w:pPr>
    <w:rPr>
      <w:sz w:val="20"/>
      <w:szCs w:val="20"/>
    </w:rPr>
  </w:style>
  <w:style w:type="character" w:customStyle="1" w:styleId="CommentTextChar">
    <w:name w:val="Comment Text Char"/>
    <w:basedOn w:val="DefaultParagraphFont"/>
    <w:link w:val="CommentText"/>
    <w:rsid w:val="00A5656F"/>
    <w:rPr>
      <w:sz w:val="20"/>
      <w:szCs w:val="20"/>
    </w:rPr>
  </w:style>
  <w:style w:type="paragraph" w:styleId="CommentSubject">
    <w:name w:val="annotation subject"/>
    <w:basedOn w:val="CommentText"/>
    <w:next w:val="CommentText"/>
    <w:link w:val="CommentSubjectChar"/>
    <w:uiPriority w:val="99"/>
    <w:semiHidden/>
    <w:unhideWhenUsed/>
    <w:rsid w:val="00A5656F"/>
    <w:rPr>
      <w:b/>
      <w:bCs/>
    </w:rPr>
  </w:style>
  <w:style w:type="character" w:customStyle="1" w:styleId="CommentSubjectChar">
    <w:name w:val="Comment Subject Char"/>
    <w:basedOn w:val="CommentTextChar"/>
    <w:link w:val="CommentSubject"/>
    <w:uiPriority w:val="99"/>
    <w:semiHidden/>
    <w:rsid w:val="00A5656F"/>
    <w:rPr>
      <w:b/>
      <w:bCs/>
      <w:sz w:val="20"/>
      <w:szCs w:val="20"/>
    </w:rPr>
  </w:style>
  <w:style w:type="paragraph" w:styleId="BalloonText">
    <w:name w:val="Balloon Text"/>
    <w:basedOn w:val="Normal"/>
    <w:link w:val="BalloonTextChar"/>
    <w:uiPriority w:val="99"/>
    <w:semiHidden/>
    <w:unhideWhenUsed/>
    <w:rsid w:val="00A56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56F"/>
    <w:rPr>
      <w:rFonts w:ascii="Segoe UI" w:hAnsi="Segoe UI" w:cs="Segoe UI"/>
      <w:sz w:val="18"/>
      <w:szCs w:val="18"/>
    </w:rPr>
  </w:style>
  <w:style w:type="paragraph" w:customStyle="1" w:styleId="ListNumber1">
    <w:name w:val="List Number 1"/>
    <w:basedOn w:val="Normal"/>
    <w:uiPriority w:val="1"/>
    <w:rsid w:val="00463D80"/>
    <w:pPr>
      <w:numPr>
        <w:numId w:val="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uiPriority w:val="1"/>
    <w:rsid w:val="00463D80"/>
    <w:pPr>
      <w:numPr>
        <w:ilvl w:val="1"/>
        <w:numId w:val="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uiPriority w:val="1"/>
    <w:unhideWhenUsed/>
    <w:rsid w:val="00463D80"/>
    <w:pPr>
      <w:numPr>
        <w:ilvl w:val="2"/>
        <w:numId w:val="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uiPriority w:val="1"/>
    <w:unhideWhenUsed/>
    <w:rsid w:val="00463D80"/>
    <w:pPr>
      <w:numPr>
        <w:ilvl w:val="3"/>
        <w:numId w:val="1"/>
      </w:numPr>
      <w:spacing w:after="240" w:line="240" w:lineRule="auto"/>
      <w:jc w:val="both"/>
    </w:pPr>
    <w:rPr>
      <w:rFonts w:ascii="Times New Roman" w:eastAsia="Times New Roman" w:hAnsi="Times New Roman" w:cs="Times New Roman"/>
      <w:sz w:val="24"/>
      <w:szCs w:val="20"/>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rsid w:val="00463D80"/>
    <w:pPr>
      <w:ind w:left="720" w:hanging="709"/>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463D80"/>
  </w:style>
  <w:style w:type="character" w:styleId="Strong">
    <w:name w:val="Strong"/>
    <w:basedOn w:val="DefaultParagraphFont"/>
    <w:uiPriority w:val="22"/>
    <w:qFormat/>
    <w:rsid w:val="00CF6E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5810">
      <w:bodyDiv w:val="1"/>
      <w:marLeft w:val="0"/>
      <w:marRight w:val="0"/>
      <w:marTop w:val="0"/>
      <w:marBottom w:val="0"/>
      <w:divBdr>
        <w:top w:val="none" w:sz="0" w:space="0" w:color="auto"/>
        <w:left w:val="none" w:sz="0" w:space="0" w:color="auto"/>
        <w:bottom w:val="none" w:sz="0" w:space="0" w:color="auto"/>
        <w:right w:val="none" w:sz="0" w:space="0" w:color="auto"/>
      </w:divBdr>
    </w:div>
    <w:div w:id="443306321">
      <w:bodyDiv w:val="1"/>
      <w:marLeft w:val="0"/>
      <w:marRight w:val="0"/>
      <w:marTop w:val="0"/>
      <w:marBottom w:val="0"/>
      <w:divBdr>
        <w:top w:val="none" w:sz="0" w:space="0" w:color="auto"/>
        <w:left w:val="none" w:sz="0" w:space="0" w:color="auto"/>
        <w:bottom w:val="none" w:sz="0" w:space="0" w:color="auto"/>
        <w:right w:val="none" w:sz="0" w:space="0" w:color="auto"/>
      </w:divBdr>
    </w:div>
    <w:div w:id="589050738">
      <w:bodyDiv w:val="1"/>
      <w:marLeft w:val="0"/>
      <w:marRight w:val="0"/>
      <w:marTop w:val="0"/>
      <w:marBottom w:val="0"/>
      <w:divBdr>
        <w:top w:val="none" w:sz="0" w:space="0" w:color="auto"/>
        <w:left w:val="none" w:sz="0" w:space="0" w:color="auto"/>
        <w:bottom w:val="none" w:sz="0" w:space="0" w:color="auto"/>
        <w:right w:val="none" w:sz="0" w:space="0" w:color="auto"/>
      </w:divBdr>
    </w:div>
    <w:div w:id="595750375">
      <w:bodyDiv w:val="1"/>
      <w:marLeft w:val="0"/>
      <w:marRight w:val="0"/>
      <w:marTop w:val="0"/>
      <w:marBottom w:val="0"/>
      <w:divBdr>
        <w:top w:val="none" w:sz="0" w:space="0" w:color="auto"/>
        <w:left w:val="none" w:sz="0" w:space="0" w:color="auto"/>
        <w:bottom w:val="none" w:sz="0" w:space="0" w:color="auto"/>
        <w:right w:val="none" w:sz="0" w:space="0" w:color="auto"/>
      </w:divBdr>
    </w:div>
    <w:div w:id="841630987">
      <w:bodyDiv w:val="1"/>
      <w:marLeft w:val="0"/>
      <w:marRight w:val="0"/>
      <w:marTop w:val="0"/>
      <w:marBottom w:val="0"/>
      <w:divBdr>
        <w:top w:val="none" w:sz="0" w:space="0" w:color="auto"/>
        <w:left w:val="none" w:sz="0" w:space="0" w:color="auto"/>
        <w:bottom w:val="none" w:sz="0" w:space="0" w:color="auto"/>
        <w:right w:val="none" w:sz="0" w:space="0" w:color="auto"/>
      </w:divBdr>
    </w:div>
    <w:div w:id="846168042">
      <w:bodyDiv w:val="1"/>
      <w:marLeft w:val="0"/>
      <w:marRight w:val="0"/>
      <w:marTop w:val="0"/>
      <w:marBottom w:val="0"/>
      <w:divBdr>
        <w:top w:val="none" w:sz="0" w:space="0" w:color="auto"/>
        <w:left w:val="none" w:sz="0" w:space="0" w:color="auto"/>
        <w:bottom w:val="none" w:sz="0" w:space="0" w:color="auto"/>
        <w:right w:val="none" w:sz="0" w:space="0" w:color="auto"/>
      </w:divBdr>
    </w:div>
    <w:div w:id="955721522">
      <w:bodyDiv w:val="1"/>
      <w:marLeft w:val="0"/>
      <w:marRight w:val="0"/>
      <w:marTop w:val="0"/>
      <w:marBottom w:val="0"/>
      <w:divBdr>
        <w:top w:val="none" w:sz="0" w:space="0" w:color="auto"/>
        <w:left w:val="none" w:sz="0" w:space="0" w:color="auto"/>
        <w:bottom w:val="none" w:sz="0" w:space="0" w:color="auto"/>
        <w:right w:val="none" w:sz="0" w:space="0" w:color="auto"/>
      </w:divBdr>
    </w:div>
    <w:div w:id="1693145036">
      <w:bodyDiv w:val="1"/>
      <w:marLeft w:val="0"/>
      <w:marRight w:val="0"/>
      <w:marTop w:val="0"/>
      <w:marBottom w:val="0"/>
      <w:divBdr>
        <w:top w:val="none" w:sz="0" w:space="0" w:color="auto"/>
        <w:left w:val="none" w:sz="0" w:space="0" w:color="auto"/>
        <w:bottom w:val="none" w:sz="0" w:space="0" w:color="auto"/>
        <w:right w:val="none" w:sz="0" w:space="0" w:color="auto"/>
      </w:divBdr>
    </w:div>
    <w:div w:id="2084447088">
      <w:bodyDiv w:val="1"/>
      <w:marLeft w:val="0"/>
      <w:marRight w:val="0"/>
      <w:marTop w:val="0"/>
      <w:marBottom w:val="0"/>
      <w:divBdr>
        <w:top w:val="none" w:sz="0" w:space="0" w:color="auto"/>
        <w:left w:val="none" w:sz="0" w:space="0" w:color="auto"/>
        <w:bottom w:val="none" w:sz="0" w:space="0" w:color="auto"/>
        <w:right w:val="none" w:sz="0" w:space="0" w:color="auto"/>
      </w:divBdr>
    </w:div>
    <w:div w:id="21232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EE5A49AA5C394C94ABB6E24628A668" ma:contentTypeVersion="1" ma:contentTypeDescription="Create a new document." ma:contentTypeScope="" ma:versionID="e01a4674e989e321e85168f7b7f00f7a">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FD0DD-DFF8-4774-852B-B8E662A1840D}">
  <ds:schemaRefs>
    <ds:schemaRef ds:uri="http://schemas.openxmlformats.org/officeDocument/2006/bibliography"/>
  </ds:schemaRefs>
</ds:datastoreItem>
</file>

<file path=customXml/itemProps2.xml><?xml version="1.0" encoding="utf-8"?>
<ds:datastoreItem xmlns:ds="http://schemas.openxmlformats.org/officeDocument/2006/customXml" ds:itemID="{3F3A652F-C418-4D9E-A880-51FF0D48E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9C671-D431-4468-BD2E-201AAC0C976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D8E5ADB-BDAF-4314-BE09-7F564AB0D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836</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CASTELLANO Guido (HOME)</dc:creator>
  <cp:keywords/>
  <dc:description/>
  <cp:lastModifiedBy>Martin Eber</cp:lastModifiedBy>
  <cp:revision>6</cp:revision>
  <cp:lastPrinted>2022-07-08T14:22:00Z</cp:lastPrinted>
  <dcterms:created xsi:type="dcterms:W3CDTF">2022-08-10T11:16:00Z</dcterms:created>
  <dcterms:modified xsi:type="dcterms:W3CDTF">2022-08-10T14:00:00Z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0x01010013EE5A49AA5C394C94ABB6E24628A668</vt:lpwstr>
  </property>
</Properties>
</file>